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Example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It is recommended that you</w:t>
      </w:r>
      <w:r>
        <w:t xml:space="preserve"> </w:t>
      </w:r>
      <w:hyperlink r:id="rId20">
        <w:r>
          <w:rPr>
            <w:rStyle w:val="Hyperlink"/>
          </w:rPr>
          <w:t xml:space="preserve">read this resource on the web</w:t>
        </w:r>
      </w:hyperlink>
      <w:r>
        <w:t xml:space="preserve"> </w:t>
      </w:r>
      <w:r>
        <w:t xml:space="preserve">but you can also download</w:t>
      </w:r>
      <w:r>
        <w:t xml:space="preserve"> </w:t>
      </w:r>
      <w:hyperlink r:id="rId21">
        <w:r>
          <w:rPr>
            <w:rStyle w:val="Hyperlink"/>
          </w:rPr>
          <w:t xml:space="preserve">this resource as a PDF</w:t>
        </w:r>
      </w:hyperlink>
      <w:r>
        <w:t xml:space="preserve"> </w:t>
      </w:r>
      <w:r>
        <w:t xml:space="preserve">or download</w:t>
      </w:r>
      <w:r>
        <w:t xml:space="preserve"> </w:t>
      </w:r>
      <w:hyperlink r:id="rId22">
        <w:r>
          <w:rPr>
            <w:rStyle w:val="Hyperlink"/>
          </w:rPr>
          <w:t xml:space="preserve">this resource as a Word document</w:t>
        </w:r>
      </w:hyperlink>
      <w:r>
        <w:t xml:space="preserve">.</w:t>
      </w:r>
    </w:p>
    <w:bookmarkStart w:id="32" w:name="using-chromevox-for-basic-tests"/>
    <w:p>
      <w:pPr>
        <w:pStyle w:val="Heading2"/>
      </w:pPr>
      <w:r>
        <w:t xml:space="preserve">Using ChromeVox for basic tests</w:t>
      </w:r>
    </w:p>
    <w:p>
      <w:pPr>
        <w:pStyle w:val="FirstParagraph"/>
      </w:pPr>
      <w:r>
        <w:t xml:space="preserve">Learning to use a screenreader properly is well outside the scope of this project but having a basic understanding of how a screenreader can interact with a webpage is helpful.</w:t>
      </w:r>
    </w:p>
    <w:p>
      <w:pPr>
        <w:pStyle w:val="BodyText"/>
      </w:pPr>
      <w:r>
        <w:t xml:space="preserve">ChromeVox is a screenreader which integrates into the Chrome browser. It is free to use and works with mathematical text encoded in webpages using MathJax. We will use a restricted mode of the ChromeVox screenreader which is easier for a complete beginner.</w:t>
      </w:r>
    </w:p>
    <w:bookmarkStart w:id="23" w:name="example-of-chromevox-reading-maths"/>
    <w:p>
      <w:pPr>
        <w:pStyle w:val="Heading3"/>
      </w:pPr>
      <w:r>
        <w:t xml:space="preserve">Example of ChromeVox reading maths</w:t>
      </w:r>
    </w:p>
    <w:bookmarkEnd w:id="23"/>
    <w:bookmarkStart w:id="27" w:name="install-chromevox"/>
    <w:p>
      <w:pPr>
        <w:pStyle w:val="Heading3"/>
      </w:pPr>
      <w:r>
        <w:t xml:space="preserve">Install ChromeVox</w:t>
      </w:r>
    </w:p>
    <w:p>
      <w:pPr>
        <w:pStyle w:val="FirstParagraph"/>
      </w:pPr>
      <w:r>
        <w:t xml:space="preserve">To install ChromeVox:</w:t>
      </w:r>
    </w:p>
    <w:p>
      <w:pPr>
        <w:numPr>
          <w:ilvl w:val="0"/>
          <w:numId w:val="1001"/>
        </w:numPr>
        <w:pStyle w:val="Compact"/>
      </w:pPr>
      <w:r>
        <w:t xml:space="preserve">Start Chrome</w:t>
      </w:r>
    </w:p>
    <w:p>
      <w:pPr>
        <w:numPr>
          <w:ilvl w:val="0"/>
          <w:numId w:val="1001"/>
        </w:numPr>
        <w:pStyle w:val="Compact"/>
      </w:pPr>
      <w:r>
        <w:t xml:space="preserve">Go to</w:t>
      </w:r>
      <w:r>
        <w:t xml:space="preserve"> </w:t>
      </w:r>
      <w:hyperlink r:id="rId24">
        <w:r>
          <w:rPr>
            <w:rStyle w:val="Hyperlink"/>
          </w:rPr>
          <w:t xml:space="preserve">the ChromeVox extension</w:t>
        </w:r>
      </w:hyperlink>
    </w:p>
    <w:p>
      <w:pPr>
        <w:numPr>
          <w:ilvl w:val="0"/>
          <w:numId w:val="1001"/>
        </w:numPr>
        <w:pStyle w:val="Compact"/>
      </w:pPr>
      <w:r>
        <w:t xml:space="preserve">Click on the Add to Chrome button</w:t>
      </w:r>
    </w:p>
    <w:p>
      <w:pPr>
        <w:numPr>
          <w:ilvl w:val="0"/>
          <w:numId w:val="1001"/>
        </w:numPr>
        <w:pStyle w:val="Compact"/>
      </w:pPr>
      <w:r>
        <w:t xml:space="preserve">Go to</w:t>
      </w:r>
      <w:r>
        <w:t xml:space="preserve"> </w:t>
      </w:r>
      <w:hyperlink r:id="rId25">
        <w:r>
          <w:rPr>
            <w:rStyle w:val="Hyperlink"/>
          </w:rPr>
          <w:t xml:space="preserve">Chrome extension list</w:t>
        </w:r>
      </w:hyperlink>
      <w:r>
        <w:t xml:space="preserve">, you should be able to see ChromeVox. Here you will find a slider to switch the extension on and off. You will want to switch it off whenever you are not intending to use it!</w:t>
      </w:r>
    </w:p>
    <w:p>
      <w:pPr>
        <w:pStyle w:val="FirstParagraph"/>
      </w:pPr>
      <w:r>
        <w:t xml:space="preserve">When ChromeVox is running you can change or manage</w:t>
      </w:r>
      <w:r>
        <w:t xml:space="preserve"> </w:t>
      </w:r>
      <w:hyperlink r:id="rId26">
        <w:r>
          <w:rPr>
            <w:rStyle w:val="Hyperlink"/>
          </w:rPr>
          <w:t xml:space="preserve">ChromeVox options</w:t>
        </w:r>
      </w:hyperlink>
      <w:r>
        <w:t xml:space="preserve"> </w:t>
      </w:r>
      <w:r>
        <w:t xml:space="preserve">but this tutorial does not depend on any changes. If you have previously installed ChromeVox and the below does not work then you may wish to check that you are using the Classic keymap and Reset current keymap.</w:t>
      </w:r>
    </w:p>
    <w:bookmarkEnd w:id="27"/>
    <w:bookmarkStart w:id="31" w:name="using-chromevox"/>
    <w:p>
      <w:pPr>
        <w:pStyle w:val="Heading3"/>
      </w:pPr>
      <w:r>
        <w:t xml:space="preserve">Using ChromeVox</w:t>
      </w:r>
    </w:p>
    <w:p>
      <w:pPr>
        <w:pStyle w:val="FirstParagraph"/>
      </w:pPr>
      <w:r>
        <w:t xml:space="preserve">Please note that students will</w:t>
      </w:r>
      <w:r>
        <w:t xml:space="preserve"> </w:t>
      </w:r>
      <w:r>
        <w:rPr>
          <w:bCs/>
          <w:b/>
        </w:rPr>
        <w:t xml:space="preserve">certainly</w:t>
      </w:r>
      <w:r>
        <w:t xml:space="preserve"> </w:t>
      </w:r>
      <w:r>
        <w:t xml:space="preserve">have a screenreader more suited to education and employment than ChromeVox and that no student should be asked to change or acquire a skillset in a new screenreader without very good reason and plenty of advance notice.</w:t>
      </w:r>
    </w:p>
    <w:p>
      <w:pPr>
        <w:pStyle w:val="BodyText"/>
      </w:pPr>
      <w:r>
        <w:t xml:space="preserve">These are instructions are not intended to teach you how to use a screenreader and they are not suitable for someone who usually uses a screenreader. These instructions exist solely to help you to understand how a structured webpage, equation or interactive diagram might sound to a screenreader user.</w:t>
      </w:r>
    </w:p>
    <w:p>
      <w:pPr>
        <w:pStyle w:val="BodyText"/>
      </w:pPr>
      <w:r>
        <w:t xml:space="preserve">To use ChromeVox to read mathematical text correctly you</w:t>
      </w:r>
      <w:r>
        <w:t xml:space="preserve"> </w:t>
      </w:r>
      <w:r>
        <w:rPr>
          <w:bCs/>
          <w:b/>
        </w:rPr>
        <w:t xml:space="preserve">must</w:t>
      </w:r>
      <w:r>
        <w:t xml:space="preserve"> </w:t>
      </w:r>
      <w:r>
        <w:t xml:space="preserve">use the keyboard, not the mouse. Mathematics will be read incorrectly if the mouse is used.</w:t>
      </w:r>
    </w:p>
    <w:p>
      <w:pPr>
        <w:numPr>
          <w:ilvl w:val="0"/>
          <w:numId w:val="1002"/>
        </w:numPr>
        <w:pStyle w:val="Compact"/>
      </w:pPr>
      <w:r>
        <w:t xml:space="preserve">Enable the ChromeVox addon with this page open.</w:t>
      </w:r>
    </w:p>
    <w:p>
      <w:pPr>
        <w:numPr>
          <w:ilvl w:val="0"/>
          <w:numId w:val="1002"/>
        </w:numPr>
        <w:pStyle w:val="Compact"/>
      </w:pPr>
      <w:r>
        <w:t xml:space="preserve">ChromeVox will start if it is enabled.</w:t>
      </w:r>
    </w:p>
    <w:p>
      <w:pPr>
        <w:numPr>
          <w:ilvl w:val="1"/>
          <w:numId w:val="1003"/>
        </w:numPr>
        <w:pStyle w:val="Compact"/>
      </w:pPr>
      <w:r>
        <w:t xml:space="preserve">To stop ChromeVox from finishing the current output press</w:t>
      </w:r>
      <w:r>
        <w:t xml:space="preserve"> </w:t>
      </w:r>
      <w:r>
        <w:rPr>
          <w:bCs/>
          <w:b/>
        </w:rPr>
        <w:t xml:space="preserve">Ctrl</w:t>
      </w:r>
    </w:p>
    <w:p>
      <w:pPr>
        <w:numPr>
          <w:ilvl w:val="1"/>
          <w:numId w:val="1003"/>
        </w:numPr>
        <w:pStyle w:val="Compact"/>
      </w:pPr>
      <w:r>
        <w:t xml:space="preserve">When you have finished using ChromeVox you will want to disable it using the slider on the</w:t>
      </w:r>
      <w:r>
        <w:t xml:space="preserve"> </w:t>
      </w:r>
      <w:hyperlink r:id="rId25">
        <w:r>
          <w:rPr>
            <w:rStyle w:val="Hyperlink"/>
          </w:rPr>
          <w:t xml:space="preserve">Chrome extension list</w:t>
        </w:r>
      </w:hyperlink>
      <w:r>
        <w:t xml:space="preserve">. It is possible to switch it off but to leave it enabled but this is beyond the scope of this introduction.</w:t>
      </w:r>
    </w:p>
    <w:p>
      <w:pPr>
        <w:numPr>
          <w:ilvl w:val="0"/>
          <w:numId w:val="1002"/>
        </w:numPr>
        <w:pStyle w:val="Compact"/>
      </w:pPr>
      <w:r>
        <w:t xml:space="preserve">ChromeVox has a mode called sticky mode. We are only going to use this mode as it is easy for an untrained user. You cannot fill in forms or edit when in this mode.</w:t>
      </w:r>
    </w:p>
    <w:p>
      <w:pPr>
        <w:numPr>
          <w:ilvl w:val="1"/>
          <w:numId w:val="1004"/>
        </w:numPr>
        <w:pStyle w:val="Compact"/>
      </w:pPr>
      <w:r>
        <w:t xml:space="preserve">To get in or out of scan mode press</w:t>
      </w:r>
      <w:r>
        <w:t xml:space="preserve"> </w:t>
      </w:r>
      <w:r>
        <w:rPr>
          <w:bCs/>
          <w:b/>
        </w:rPr>
        <w:t xml:space="preserve">Insert</w:t>
      </w:r>
      <w:r>
        <w:t xml:space="preserve"> </w:t>
      </w:r>
      <w:r>
        <w:t xml:space="preserve">TWICE on Windows or Linux or</w:t>
      </w:r>
      <w:r>
        <w:t xml:space="preserve"> </w:t>
      </w:r>
      <w:r>
        <w:rPr>
          <w:bCs/>
          <w:b/>
        </w:rPr>
        <w:t xml:space="preserve">left Command key</w:t>
      </w:r>
      <w:r>
        <w:t xml:space="preserve"> </w:t>
      </w:r>
      <w:r>
        <w:t xml:space="preserve">TWICE on Mac OS</w:t>
      </w:r>
    </w:p>
    <w:p>
      <w:pPr>
        <w:numPr>
          <w:ilvl w:val="1"/>
          <w:numId w:val="1004"/>
        </w:numPr>
        <w:pStyle w:val="Compact"/>
      </w:pPr>
      <w:r>
        <w:t xml:space="preserve">Please remember that there are lots of things a screenreader can do, ChromeVox included, that we are</w:t>
      </w:r>
      <w:r>
        <w:t xml:space="preserve"> </w:t>
      </w:r>
      <w:r>
        <w:rPr>
          <w:bCs/>
          <w:b/>
        </w:rPr>
        <w:t xml:space="preserve">not</w:t>
      </w:r>
      <w:r>
        <w:t xml:space="preserve"> </w:t>
      </w:r>
      <w:r>
        <w:t xml:space="preserve">teaching you how to do!</w:t>
      </w:r>
    </w:p>
    <w:p>
      <w:pPr>
        <w:numPr>
          <w:ilvl w:val="0"/>
          <w:numId w:val="1002"/>
        </w:numPr>
        <w:pStyle w:val="Compact"/>
      </w:pPr>
      <w:r>
        <w:t xml:space="preserve">Try not to use the mouse! Once in sticky mode use the below commands to explore the page. Try to move through the document in different ways to</w:t>
      </w:r>
      <w:r>
        <w:t xml:space="preserve"> </w:t>
      </w:r>
      <w:r>
        <w:t xml:space="preserve">‘</w:t>
      </w:r>
      <w:r>
        <w:t xml:space="preserve">scan</w:t>
      </w:r>
      <w:r>
        <w:t xml:space="preserve">’</w:t>
      </w:r>
      <w:r>
        <w:t xml:space="preserve"> </w:t>
      </w:r>
      <w:r>
        <w:t xml:space="preserve">it.</w:t>
      </w:r>
    </w:p>
    <w:p>
      <w:pPr>
        <w:numPr>
          <w:ilvl w:val="0"/>
          <w:numId w:val="1002"/>
        </w:numPr>
        <w:pStyle w:val="Compact"/>
      </w:pPr>
      <w:r>
        <w:t xml:space="preserve">Try to read a mathematical expression. Can you</w:t>
      </w:r>
      <w:r>
        <w:t xml:space="preserve"> </w:t>
      </w:r>
      <w:r>
        <w:t xml:space="preserve">“</w:t>
      </w:r>
      <w:r>
        <w:t xml:space="preserve">enter</w:t>
      </w:r>
      <w:r>
        <w:t xml:space="preserve">”</w:t>
      </w:r>
      <w:r>
        <w:t xml:space="preserve"> </w:t>
      </w:r>
      <w:r>
        <w:t xml:space="preserve">the mathematical expression and explore it?</w:t>
      </w:r>
      <w:r>
        <w:br/>
      </w:r>
    </w:p>
    <w:p>
      <w:pPr>
        <w:numPr>
          <w:ilvl w:val="0"/>
          <w:numId w:val="1002"/>
        </w:numPr>
        <w:pStyle w:val="Compact"/>
      </w:pPr>
      <w:r>
        <w:t xml:space="preserve">Try to interact with the interactive diagrams. Listen carefully for the instructions on how to do this.</w:t>
      </w:r>
    </w:p>
    <w:bookmarkStart w:id="28" w:name="general-keyboard-commands"/>
    <w:p>
      <w:pPr>
        <w:pStyle w:val="Heading4"/>
      </w:pPr>
      <w:r>
        <w:t xml:space="preserve">General keyboard commands</w:t>
      </w:r>
    </w:p>
    <w:tbl>
      <w:tblPr>
        <w:tblStyle w:val="Table"/>
        <w:tblW w:type="pct" w:w="5000"/>
        <w:tblLook w:firstRow="1" w:lastRow="0" w:firstColumn="0" w:lastColumn="0" w:noHBand="0" w:noVBand="0" w:val="0020"/>
      </w:tblPr>
      <w:tblGrid>
        <w:gridCol w:w="1747"/>
        <w:gridCol w:w="6172"/>
      </w:tblGrid>
      <w:tr>
        <w:trPr>
          <w:tblHeader w:val="true"/>
        </w:trPr>
        <w:tc>
          <w:tcPr/>
          <w:p>
            <w:pPr>
              <w:pStyle w:val="Compact"/>
              <w:jc w:val="left"/>
            </w:pPr>
            <w:r>
              <w:t xml:space="preserve">Key press</w:t>
            </w:r>
          </w:p>
        </w:tc>
        <w:tc>
          <w:tcPr/>
          <w:p>
            <w:pPr>
              <w:pStyle w:val="Compact"/>
              <w:jc w:val="left"/>
            </w:pPr>
            <w:r>
              <w:t xml:space="preserve">What will happen?</w:t>
            </w:r>
          </w:p>
        </w:tc>
      </w:tr>
      <w:tr>
        <w:tc>
          <w:tcPr/>
          <w:p>
            <w:pPr>
              <w:pStyle w:val="Compact"/>
              <w:jc w:val="left"/>
            </w:pPr>
            <w:r>
              <w:t xml:space="preserve">Enter</w:t>
            </w:r>
          </w:p>
        </w:tc>
        <w:tc>
          <w:tcPr/>
          <w:p>
            <w:pPr>
              <w:pStyle w:val="Compact"/>
              <w:jc w:val="left"/>
            </w:pPr>
            <w:r>
              <w:t xml:space="preserve">Activate current item</w:t>
            </w:r>
          </w:p>
        </w:tc>
      </w:tr>
      <w:tr>
        <w:tc>
          <w:tcPr/>
          <w:p>
            <w:pPr>
              <w:pStyle w:val="Compact"/>
              <w:jc w:val="left"/>
            </w:pPr>
            <w:r>
              <w:t xml:space="preserve">Tab</w:t>
            </w:r>
          </w:p>
        </w:tc>
        <w:tc>
          <w:tcPr/>
          <w:p>
            <w:pPr>
              <w:pStyle w:val="Compact"/>
              <w:jc w:val="left"/>
            </w:pPr>
            <w:r>
              <w:t xml:space="preserve">Jump to next focusable item</w:t>
            </w:r>
          </w:p>
        </w:tc>
      </w:tr>
      <w:tr>
        <w:tc>
          <w:tcPr/>
          <w:p>
            <w:pPr>
              <w:pStyle w:val="Compact"/>
              <w:jc w:val="left"/>
            </w:pPr>
            <w:r>
              <w:t xml:space="preserve">Shift + Tab</w:t>
            </w:r>
          </w:p>
        </w:tc>
        <w:tc>
          <w:tcPr/>
          <w:p>
            <w:pPr>
              <w:pStyle w:val="Compact"/>
              <w:jc w:val="left"/>
            </w:pPr>
            <w:r>
              <w:t xml:space="preserve">Jump to previous focusable item</w:t>
            </w:r>
          </w:p>
        </w:tc>
      </w:tr>
      <w:tr>
        <w:tc>
          <w:tcPr/>
          <w:p>
            <w:pPr>
              <w:pStyle w:val="Compact"/>
              <w:jc w:val="left"/>
            </w:pPr>
            <w:r>
              <w:t xml:space="preserve">Down/Up</w:t>
            </w:r>
          </w:p>
        </w:tc>
        <w:tc>
          <w:tcPr/>
          <w:p>
            <w:pPr>
              <w:pStyle w:val="Compact"/>
              <w:jc w:val="left"/>
            </w:pPr>
            <w:r>
              <w:t xml:space="preserve">Navigate forwards/backwards</w:t>
            </w:r>
          </w:p>
        </w:tc>
      </w:tr>
      <w:tr>
        <w:tc>
          <w:tcPr/>
          <w:p>
            <w:pPr>
              <w:pStyle w:val="Compact"/>
              <w:jc w:val="left"/>
            </w:pPr>
            <w:r>
              <w:t xml:space="preserve">Right/Left</w:t>
            </w:r>
          </w:p>
        </w:tc>
        <w:tc>
          <w:tcPr/>
          <w:p>
            <w:pPr>
              <w:pStyle w:val="Compact"/>
              <w:jc w:val="left"/>
            </w:pPr>
            <w:r>
              <w:t xml:space="preserve">Navigate forwards/backwards at a more detailed level</w:t>
            </w:r>
          </w:p>
        </w:tc>
      </w:tr>
      <w:tr>
        <w:tc>
          <w:tcPr/>
          <w:p>
            <w:pPr>
              <w:pStyle w:val="Compact"/>
              <w:jc w:val="left"/>
            </w:pPr>
            <w:r>
              <w:t xml:space="preserve">Backslash</w:t>
            </w:r>
          </w:p>
        </w:tc>
        <w:tc>
          <w:tcPr/>
          <w:p>
            <w:pPr>
              <w:pStyle w:val="Compact"/>
              <w:jc w:val="left"/>
            </w:pPr>
            <w:r>
              <w:t xml:space="preserve">Enter table or equation exploration</w:t>
            </w:r>
          </w:p>
        </w:tc>
      </w:tr>
      <w:tr>
        <w:tc>
          <w:tcPr/>
          <w:p>
            <w:pPr>
              <w:pStyle w:val="Compact"/>
              <w:jc w:val="left"/>
            </w:pPr>
            <w:r>
              <w:t xml:space="preserve">Backspace</w:t>
            </w:r>
          </w:p>
        </w:tc>
        <w:tc>
          <w:tcPr/>
          <w:p>
            <w:pPr>
              <w:pStyle w:val="Compact"/>
              <w:jc w:val="left"/>
            </w:pPr>
            <w:r>
              <w:t xml:space="preserve">Exit table or equation exploration</w:t>
            </w:r>
          </w:p>
        </w:tc>
      </w:tr>
      <w:tr>
        <w:tc>
          <w:tcPr/>
          <w:p>
            <w:pPr>
              <w:pStyle w:val="Compact"/>
              <w:jc w:val="left"/>
            </w:pPr>
            <w:r>
              <w:t xml:space="preserve">N</w:t>
            </w:r>
          </w:p>
        </w:tc>
        <w:tc>
          <w:tcPr/>
          <w:p>
            <w:pPr>
              <w:pStyle w:val="Compact"/>
              <w:jc w:val="left"/>
            </w:pPr>
            <w:r>
              <w:t xml:space="preserve">Next (follow by any of the below type commands)</w:t>
            </w:r>
          </w:p>
        </w:tc>
      </w:tr>
      <w:tr>
        <w:tc>
          <w:tcPr/>
          <w:p>
            <w:pPr>
              <w:pStyle w:val="Compact"/>
              <w:jc w:val="left"/>
            </w:pPr>
            <w:r>
              <w:t xml:space="preserve">P</w:t>
            </w:r>
          </w:p>
        </w:tc>
        <w:tc>
          <w:tcPr/>
          <w:p>
            <w:pPr>
              <w:pStyle w:val="Compact"/>
              <w:jc w:val="left"/>
            </w:pPr>
            <w:r>
              <w:t xml:space="preserve">Previous (follow by any of the below type commands)</w:t>
            </w:r>
          </w:p>
        </w:tc>
      </w:tr>
      <w:tr>
        <w:tc>
          <w:tcPr/>
          <w:p>
            <w:pPr>
              <w:pStyle w:val="Compact"/>
              <w:jc w:val="left"/>
            </w:pPr>
            <w:r>
              <w:t xml:space="preserve">H</w:t>
            </w:r>
          </w:p>
        </w:tc>
        <w:tc>
          <w:tcPr/>
          <w:p>
            <w:pPr>
              <w:pStyle w:val="Compact"/>
              <w:jc w:val="left"/>
            </w:pPr>
            <w:r>
              <w:t xml:space="preserve">Heading</w:t>
            </w:r>
          </w:p>
        </w:tc>
      </w:tr>
      <w:tr>
        <w:tc>
          <w:tcPr/>
          <w:p>
            <w:pPr>
              <w:pStyle w:val="Compact"/>
              <w:jc w:val="left"/>
            </w:pPr>
            <w:r>
              <w:t xml:space="preserve">n in {1,..,9}</w:t>
            </w:r>
          </w:p>
        </w:tc>
        <w:tc>
          <w:tcPr/>
          <w:p>
            <w:pPr>
              <w:pStyle w:val="Compact"/>
              <w:jc w:val="left"/>
            </w:pPr>
            <w:r>
              <w:t xml:space="preserve">Heading at level n</w:t>
            </w:r>
          </w:p>
        </w:tc>
      </w:tr>
      <w:tr>
        <w:tc>
          <w:tcPr/>
          <w:p>
            <w:pPr>
              <w:pStyle w:val="Compact"/>
              <w:jc w:val="left"/>
            </w:pPr>
            <w:r>
              <w:t xml:space="preserve">L</w:t>
            </w:r>
          </w:p>
        </w:tc>
        <w:tc>
          <w:tcPr/>
          <w:p>
            <w:pPr>
              <w:pStyle w:val="Compact"/>
              <w:jc w:val="left"/>
            </w:pPr>
            <w:r>
              <w:t xml:space="preserve">Link</w:t>
            </w:r>
          </w:p>
        </w:tc>
      </w:tr>
      <w:tr>
        <w:tc>
          <w:tcPr/>
          <w:p>
            <w:pPr>
              <w:pStyle w:val="Compact"/>
              <w:jc w:val="left"/>
            </w:pPr>
            <w:r>
              <w:t xml:space="preserve">T</w:t>
            </w:r>
          </w:p>
        </w:tc>
        <w:tc>
          <w:tcPr/>
          <w:p>
            <w:pPr>
              <w:pStyle w:val="Compact"/>
              <w:jc w:val="left"/>
            </w:pPr>
            <w:r>
              <w:t xml:space="preserve">Table</w:t>
            </w:r>
          </w:p>
        </w:tc>
      </w:tr>
      <w:tr>
        <w:tc>
          <w:tcPr/>
          <w:p>
            <w:pPr>
              <w:pStyle w:val="Compact"/>
              <w:jc w:val="left"/>
            </w:pPr>
            <w:r>
              <w:t xml:space="preserve">O</w:t>
            </w:r>
          </w:p>
        </w:tc>
        <w:tc>
          <w:tcPr/>
          <w:p>
            <w:pPr>
              <w:pStyle w:val="Compact"/>
              <w:jc w:val="left"/>
            </w:pPr>
            <w:r>
              <w:t xml:space="preserve">List</w:t>
            </w:r>
          </w:p>
        </w:tc>
      </w:tr>
      <w:tr>
        <w:tc>
          <w:tcPr/>
          <w:p>
            <w:pPr>
              <w:pStyle w:val="Compact"/>
              <w:jc w:val="left"/>
            </w:pPr>
            <w:r>
              <w:t xml:space="preserve">I</w:t>
            </w:r>
          </w:p>
        </w:tc>
        <w:tc>
          <w:tcPr/>
          <w:p>
            <w:pPr>
              <w:pStyle w:val="Compact"/>
              <w:jc w:val="left"/>
            </w:pPr>
            <w:r>
              <w:t xml:space="preserve">List item</w:t>
            </w:r>
          </w:p>
        </w:tc>
      </w:tr>
    </w:tbl>
    <w:bookmarkEnd w:id="28"/>
    <w:bookmarkStart w:id="29" w:name="exploring-tables"/>
    <w:p>
      <w:pPr>
        <w:pStyle w:val="Heading4"/>
      </w:pPr>
      <w:r>
        <w:t xml:space="preserve">Exploring tables</w:t>
      </w:r>
    </w:p>
    <w:p>
      <w:pPr>
        <w:pStyle w:val="FirstParagraph"/>
      </w:pPr>
      <w:r>
        <w:t xml:space="preserve">In sticky mode,</w:t>
      </w:r>
    </w:p>
    <w:p>
      <w:pPr>
        <w:numPr>
          <w:ilvl w:val="0"/>
          <w:numId w:val="1005"/>
        </w:numPr>
        <w:pStyle w:val="Compact"/>
      </w:pPr>
      <w:r>
        <w:t xml:space="preserve">use backslash to enter a table;</w:t>
      </w:r>
    </w:p>
    <w:p>
      <w:pPr>
        <w:numPr>
          <w:ilvl w:val="0"/>
          <w:numId w:val="1005"/>
        </w:numPr>
        <w:pStyle w:val="Compact"/>
      </w:pPr>
      <w:r>
        <w:t xml:space="preserve">use backspace to exit a table;</w:t>
      </w:r>
    </w:p>
    <w:p>
      <w:pPr>
        <w:numPr>
          <w:ilvl w:val="0"/>
          <w:numId w:val="1005"/>
        </w:numPr>
        <w:pStyle w:val="Compact"/>
      </w:pPr>
      <w:r>
        <w:t xml:space="preserve">use navigation left/right/up/down to move between cells and</w:t>
      </w:r>
    </w:p>
    <w:p>
      <w:pPr>
        <w:numPr>
          <w:ilvl w:val="0"/>
          <w:numId w:val="1005"/>
        </w:numPr>
        <w:pStyle w:val="Compact"/>
      </w:pPr>
      <w:r>
        <w:t xml:space="preserve">inside the table use the below keypresses to explore.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Key press</w:t>
            </w:r>
          </w:p>
        </w:tc>
        <w:tc>
          <w:tcPr/>
          <w:p>
            <w:pPr>
              <w:pStyle w:val="Compact"/>
              <w:jc w:val="left"/>
            </w:pPr>
            <w:r>
              <w:t xml:space="preserve">What will happen?</w:t>
            </w:r>
          </w:p>
        </w:tc>
      </w:tr>
      <w:tr>
        <w:tc>
          <w:tcPr/>
          <w:p>
            <w:pPr>
              <w:pStyle w:val="Compact"/>
              <w:jc w:val="left"/>
            </w:pPr>
            <w:r>
              <w:t xml:space="preserve">T H</w:t>
            </w:r>
          </w:p>
        </w:tc>
        <w:tc>
          <w:tcPr/>
          <w:p>
            <w:pPr>
              <w:pStyle w:val="Compact"/>
              <w:jc w:val="left"/>
            </w:pPr>
            <w:r>
              <w:t xml:space="preserve">Announce the headers of the current cell</w:t>
            </w:r>
          </w:p>
        </w:tc>
      </w:tr>
      <w:tr>
        <w:tc>
          <w:tcPr/>
          <w:p>
            <w:pPr>
              <w:pStyle w:val="Compact"/>
              <w:jc w:val="left"/>
            </w:pPr>
            <w:r>
              <w:t xml:space="preserve">T L</w:t>
            </w:r>
          </w:p>
        </w:tc>
        <w:tc>
          <w:tcPr/>
          <w:p>
            <w:pPr>
              <w:pStyle w:val="Compact"/>
              <w:jc w:val="left"/>
            </w:pPr>
            <w:r>
              <w:t xml:space="preserve">Announce the current cell coordinates</w:t>
            </w:r>
          </w:p>
        </w:tc>
      </w:tr>
      <w:tr>
        <w:tc>
          <w:tcPr/>
          <w:p>
            <w:pPr>
              <w:pStyle w:val="Compact"/>
              <w:jc w:val="left"/>
            </w:pPr>
            <w:r>
              <w:t xml:space="preserve">T [</w:t>
            </w:r>
          </w:p>
        </w:tc>
        <w:tc>
          <w:tcPr/>
          <w:p>
            <w:pPr>
              <w:pStyle w:val="Compact"/>
              <w:jc w:val="left"/>
            </w:pPr>
            <w:r>
              <w:t xml:space="preserve">Go to the beginning of the table</w:t>
            </w:r>
          </w:p>
        </w:tc>
      </w:tr>
      <w:tr>
        <w:tc>
          <w:tcPr/>
          <w:p>
            <w:pPr>
              <w:pStyle w:val="Compact"/>
              <w:jc w:val="left"/>
            </w:pPr>
            <w:r>
              <w:t xml:space="preserve">T ]</w:t>
            </w:r>
          </w:p>
        </w:tc>
        <w:tc>
          <w:tcPr/>
          <w:p>
            <w:pPr>
              <w:pStyle w:val="Compact"/>
              <w:jc w:val="left"/>
            </w:pPr>
            <w:r>
              <w:t xml:space="preserve">Go to the end of the table</w:t>
            </w:r>
          </w:p>
        </w:tc>
      </w:tr>
      <w:tr>
        <w:tc>
          <w:tcPr/>
          <w:p>
            <w:pPr>
              <w:pStyle w:val="Compact"/>
              <w:jc w:val="left"/>
            </w:pPr>
            <w:r>
              <w:t xml:space="preserve">T ;</w:t>
            </w:r>
          </w:p>
        </w:tc>
        <w:tc>
          <w:tcPr/>
          <w:p>
            <w:pPr>
              <w:pStyle w:val="Compact"/>
              <w:jc w:val="left"/>
            </w:pPr>
            <w:r>
              <w:t xml:space="preserve">Go to the beginning of the current row</w:t>
            </w:r>
          </w:p>
        </w:tc>
      </w:tr>
      <w:tr>
        <w:tc>
          <w:tcPr/>
          <w:p>
            <w:pPr>
              <w:pStyle w:val="Compact"/>
              <w:jc w:val="left"/>
            </w:pPr>
            <w:r>
              <w:t xml:space="preserve">T #</w:t>
            </w:r>
          </w:p>
        </w:tc>
        <w:tc>
          <w:tcPr/>
          <w:p>
            <w:pPr>
              <w:pStyle w:val="Compact"/>
              <w:jc w:val="left"/>
            </w:pPr>
            <w:r>
              <w:t xml:space="preserve">Go to the end of the current row</w:t>
            </w:r>
          </w:p>
        </w:tc>
      </w:tr>
      <w:tr>
        <w:tc>
          <w:tcPr/>
          <w:p>
            <w:pPr>
              <w:pStyle w:val="Compact"/>
              <w:jc w:val="left"/>
            </w:pPr>
            <w:r>
              <w:t xml:space="preserve">T ,</w:t>
            </w:r>
          </w:p>
        </w:tc>
        <w:tc>
          <w:tcPr/>
          <w:p>
            <w:pPr>
              <w:pStyle w:val="Compact"/>
              <w:jc w:val="left"/>
            </w:pPr>
            <w:r>
              <w:t xml:space="preserve">Go to the beginning of the current column</w:t>
            </w:r>
          </w:p>
        </w:tc>
      </w:tr>
      <w:tr>
        <w:tc>
          <w:tcPr/>
          <w:p>
            <w:pPr>
              <w:pStyle w:val="Compact"/>
              <w:jc w:val="left"/>
            </w:pPr>
            <w:r>
              <w:t xml:space="preserve">T .</w:t>
            </w:r>
          </w:p>
        </w:tc>
        <w:tc>
          <w:tcPr/>
          <w:p>
            <w:pPr>
              <w:pStyle w:val="Compact"/>
              <w:jc w:val="left"/>
            </w:pPr>
            <w:r>
              <w:t xml:space="preserve">Go to the end of the current column</w:t>
            </w:r>
          </w:p>
        </w:tc>
      </w:tr>
    </w:tbl>
    <w:bookmarkEnd w:id="29"/>
    <w:bookmarkStart w:id="30" w:name="exploring-mathematical-expressions"/>
    <w:p>
      <w:pPr>
        <w:pStyle w:val="Heading4"/>
      </w:pPr>
      <w:r>
        <w:t xml:space="preserve">Exploring mathematical expressions</w:t>
      </w:r>
    </w:p>
    <w:p>
      <w:pPr>
        <w:pStyle w:val="FirstParagraph"/>
      </w:pPr>
      <w:r>
        <w:t xml:space="preserve">In sticky mode,</w:t>
      </w:r>
    </w:p>
    <w:p>
      <w:pPr>
        <w:numPr>
          <w:ilvl w:val="0"/>
          <w:numId w:val="1006"/>
        </w:numPr>
        <w:pStyle w:val="Compact"/>
      </w:pPr>
      <w:r>
        <w:t xml:space="preserve">use backslash to enter an expression;</w:t>
      </w:r>
    </w:p>
    <w:p>
      <w:pPr>
        <w:numPr>
          <w:ilvl w:val="0"/>
          <w:numId w:val="1006"/>
        </w:numPr>
        <w:pStyle w:val="Compact"/>
      </w:pPr>
      <w:r>
        <w:t xml:space="preserve">use backspace to exit an expression;</w:t>
      </w:r>
    </w:p>
    <w:p>
      <w:pPr>
        <w:numPr>
          <w:ilvl w:val="0"/>
          <w:numId w:val="1006"/>
        </w:numPr>
        <w:pStyle w:val="Compact"/>
      </w:pPr>
      <w:r>
        <w:t xml:space="preserve">inside the expression use the below keypresses to explore.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Key press</w:t>
            </w:r>
          </w:p>
        </w:tc>
        <w:tc>
          <w:tcPr/>
          <w:p>
            <w:pPr>
              <w:pStyle w:val="Compact"/>
              <w:jc w:val="left"/>
            </w:pPr>
            <w:r>
              <w:t xml:space="preserve">What will happen?</w:t>
            </w:r>
          </w:p>
        </w:tc>
      </w:tr>
      <w:tr>
        <w:tc>
          <w:tcPr/>
          <w:p>
            <w:pPr>
              <w:pStyle w:val="Compact"/>
              <w:jc w:val="left"/>
            </w:pPr>
            <w:r>
              <w:t xml:space="preserve">Down/Up</w:t>
            </w:r>
          </w:p>
        </w:tc>
        <w:tc>
          <w:tcPr/>
          <w:p>
            <w:pPr>
              <w:pStyle w:val="Compact"/>
              <w:jc w:val="left"/>
            </w:pPr>
            <w:r>
              <w:t xml:space="preserve">Navigate forwards/backwards</w:t>
            </w:r>
          </w:p>
        </w:tc>
      </w:tr>
      <w:tr>
        <w:tc>
          <w:tcPr/>
          <w:p>
            <w:pPr>
              <w:pStyle w:val="Compact"/>
              <w:jc w:val="left"/>
            </w:pPr>
            <w:r>
              <w:t xml:space="preserve">=</w:t>
            </w:r>
          </w:p>
        </w:tc>
        <w:tc>
          <w:tcPr/>
          <w:p>
            <w:pPr>
              <w:pStyle w:val="Compact"/>
              <w:jc w:val="left"/>
            </w:pPr>
            <w:r>
              <w:t xml:space="preserve">Increase granularity</w:t>
            </w:r>
          </w:p>
        </w:tc>
      </w:tr>
      <w:tr>
        <w:tc>
          <w:tcPr/>
          <w:p>
            <w:pPr>
              <w:pStyle w:val="Compact"/>
              <w:jc w:val="left"/>
            </w:pPr>
            <w:r>
              <w:t xml:space="preserve">-</w:t>
            </w:r>
          </w:p>
        </w:tc>
        <w:tc>
          <w:tcPr/>
          <w:p>
            <w:pPr>
              <w:pStyle w:val="Compact"/>
              <w:jc w:val="left"/>
            </w:pPr>
            <w:r>
              <w:t xml:space="preserve">Decrease granularity</w:t>
            </w:r>
          </w:p>
        </w:tc>
      </w:tr>
      <w:tr>
        <w:tc>
          <w:tcPr/>
          <w:p>
            <w:pPr>
              <w:pStyle w:val="Compact"/>
              <w:jc w:val="left"/>
            </w:pPr>
            <w:r>
              <w:t xml:space="preserve">M S</w:t>
            </w:r>
          </w:p>
        </w:tc>
        <w:tc>
          <w:tcPr/>
          <w:p>
            <w:pPr>
              <w:pStyle w:val="Compact"/>
              <w:jc w:val="left"/>
            </w:pPr>
            <w:r>
              <w:t xml:space="preserve">Toggle semantic mode</w:t>
            </w:r>
          </w:p>
        </w:tc>
      </w:tr>
    </w:tbl>
    <w:p>
      <w:pPr>
        <w:pStyle w:val="BodyText"/>
      </w:pPr>
      <w:r>
        <w:t xml:space="preserve">In semantic mode, in multi-line displayed equations, the reading will not announce the cell location of the current element but will instead read the maths as expressions.</w:t>
      </w:r>
    </w:p>
    <w:bookmarkEnd w:id="30"/>
    <w:bookmarkEnd w:id="31"/>
    <w:bookmarkEnd w:id="32"/>
    <w:bookmarkStart w:id="43" w:name="arc-length"/>
    <w:p>
      <w:pPr>
        <w:pStyle w:val="Heading2"/>
      </w:pPr>
      <w:r>
        <w:t xml:space="preserve">Arc length</w:t>
      </w:r>
    </w:p>
    <w:p>
      <w:pPr>
        <w:pStyle w:val="FirstParagraph"/>
      </w:pPr>
      <w:r>
        <w:t xml:space="preserve">We often need to know the length of a curve between two points,</w:t>
      </w:r>
      <w:r>
        <w:t xml:space="preserve"> </w:t>
      </w:r>
      <w:r>
        <w:t xml:space="preserve">e.g. what is the length of the ropes holding Clifton suspension bridge (see Exercise Sheet 3).</w:t>
      </w:r>
    </w:p>
    <w:bookmarkStart w:id="41" w:name="visualisation"/>
    <w:p>
      <w:pPr>
        <w:pStyle w:val="Heading3"/>
      </w:pPr>
      <w:r>
        <w:t xml:space="preserve">Visualisation</w:t>
      </w:r>
    </w:p>
    <w:p>
      <w:pPr>
        <w:pStyle w:val="FirstParagraph"/>
      </w:pPr>
      <w:r>
        <w:t xml:space="preserve">Given a curve</w:t>
      </w:r>
      <w:r>
        <w:t xml:space="preserve"> </w:t>
      </w:r>
      <m:oMath>
        <m:r>
          <m:t>y</m:t>
        </m:r>
        <m:r>
          <m:rPr>
            <m:sty m:val="p"/>
          </m:rPr>
          <m:t>=</m:t>
        </m:r>
        <m:r>
          <m:t>y</m:t>
        </m:r>
        <m:d>
          <m:dPr>
            <m:begChr m:val="("/>
            <m:endChr m:val=")"/>
            <m:sepChr m:val=""/>
            <m:grow/>
          </m:dPr>
          <m:e>
            <m:r>
              <m:t>x</m:t>
            </m:r>
          </m:e>
        </m:d>
      </m:oMath>
    </w:p>
    <w:p>
      <w:pPr>
        <w:pStyle w:val="BodyText"/>
      </w:pPr>
      <w:r>
        <w:drawing>
          <wp:inline>
            <wp:extent cx="5334000" cy="3556000"/>
            <wp:effectExtent b="0" l="0" r="0" t="0"/>
            <wp:docPr descr="" title="" id="34" name="Picture"/>
            <a:graphic>
              <a:graphicData uri="http://schemas.openxmlformats.org/drawingml/2006/picture">
                <pic:pic>
                  <pic:nvPicPr>
                    <pic:cNvPr descr="arclength1.png" id="35" name="Picture"/>
                    <pic:cNvPicPr>
                      <a:picLocks noChangeArrowheads="1" noChangeAspect="1"/>
                    </pic:cNvPicPr>
                  </pic:nvPicPr>
                  <pic:blipFill>
                    <a:blip r:embed="rId33"/>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Accessible interactive graph at</w:t>
      </w:r>
      <w:r>
        <w:t xml:space="preserve"> </w:t>
      </w:r>
      <w:hyperlink r:id="rId36">
        <w:r>
          <w:rPr>
            <w:rStyle w:val="Hyperlink"/>
          </w:rPr>
          <w:t xml:space="preserve">https://www.desmos.com/calculator/t8dz6vlmnz</w:t>
        </w:r>
      </w:hyperlink>
    </w:p>
    <w:p>
      <w:pPr>
        <w:pStyle w:val="BodyText"/>
      </w:pPr>
      <w:r>
        <w:t xml:space="preserve">Let</w:t>
      </w:r>
      <w:r>
        <w:t xml:space="preserve"> </w:t>
      </w:r>
      <m:oMath>
        <m:r>
          <m:t>S</m:t>
        </m:r>
      </m:oMath>
      <w:r>
        <w:t xml:space="preserve"> </w:t>
      </w:r>
      <w:r>
        <w:t xml:space="preserve">be the arc length and</w:t>
      </w:r>
      <w:r>
        <w:t xml:space="preserve"> </w:t>
      </w:r>
      <m:oMath>
        <m:r>
          <m:t>Δ</m:t>
        </m:r>
        <m:r>
          <m:t>S</m:t>
        </m:r>
      </m:oMath>
      <w:r>
        <w:t xml:space="preserve"> </w:t>
      </w:r>
      <w:r>
        <w:t xml:space="preserve">a short section of it.</w:t>
      </w:r>
    </w:p>
    <w:p>
      <w:pPr>
        <w:pStyle w:val="BodyText"/>
      </w:pPr>
      <w:r>
        <w:drawing>
          <wp:inline>
            <wp:extent cx="5334000" cy="6303101"/>
            <wp:effectExtent b="0" l="0" r="0" t="0"/>
            <wp:docPr descr="" title="" id="38" name="Picture"/>
            <a:graphic>
              <a:graphicData uri="http://schemas.openxmlformats.org/drawingml/2006/picture">
                <pic:pic>
                  <pic:nvPicPr>
                    <pic:cNvPr descr="arclengthdx.png" id="39" name="Picture"/>
                    <pic:cNvPicPr>
                      <a:picLocks noChangeArrowheads="1" noChangeAspect="1"/>
                    </pic:cNvPicPr>
                  </pic:nvPicPr>
                  <pic:blipFill>
                    <a:blip r:embed="rId37"/>
                    <a:stretch>
                      <a:fillRect/>
                    </a:stretch>
                  </pic:blipFill>
                  <pic:spPr bwMode="auto">
                    <a:xfrm>
                      <a:off x="0" y="0"/>
                      <a:ext cx="5334000" cy="6303101"/>
                    </a:xfrm>
                    <a:prstGeom prst="rect">
                      <a:avLst/>
                    </a:prstGeom>
                    <a:noFill/>
                    <a:ln w="9525">
                      <a:noFill/>
                      <a:headEnd/>
                      <a:tailEnd/>
                    </a:ln>
                  </pic:spPr>
                </pic:pic>
              </a:graphicData>
            </a:graphic>
          </wp:inline>
        </w:drawing>
      </w:r>
    </w:p>
    <w:p>
      <w:pPr>
        <w:pStyle w:val="BodyText"/>
      </w:pPr>
      <w:r>
        <w:t xml:space="preserve">Accessible interactive graph at</w:t>
      </w:r>
      <w:r>
        <w:t xml:space="preserve"> </w:t>
      </w:r>
      <w:hyperlink r:id="rId40">
        <w:r>
          <w:rPr>
            <w:rStyle w:val="Hyperlink"/>
          </w:rPr>
          <w:t xml:space="preserve">https://www.desmos.com/calculator/g5duc4kmfp</w:t>
        </w:r>
      </w:hyperlink>
    </w:p>
    <w:bookmarkEnd w:id="41"/>
    <w:bookmarkStart w:id="42" w:name="derivation-of-arc-length"/>
    <w:p>
      <w:pPr>
        <w:pStyle w:val="Heading3"/>
      </w:pPr>
      <w:r>
        <w:t xml:space="preserve">Derivation of Arc Length</w:t>
      </w:r>
    </w:p>
    <w:p>
      <w:pPr>
        <w:pStyle w:val="FirstParagraph"/>
      </w:pPr>
      <w:r>
        <w:t xml:space="preserve">By Pythagoras’ Theorem,</w:t>
      </w:r>
    </w:p>
    <w:p>
      <w:pPr>
        <w:pStyle w:val="BodyText"/>
      </w:pPr>
      <m:oMathPara>
        <m:oMathParaPr>
          <m:jc m:val="center"/>
        </m:oMathParaPr>
        <m:oMath>
          <m:r>
            <m:t>Δ</m:t>
          </m:r>
          <m:sSup>
            <m:e>
              <m:r>
                <m:t>S</m:t>
              </m:r>
            </m:e>
            <m:sup>
              <m:r>
                <m:t>2</m:t>
              </m:r>
            </m:sup>
          </m:sSup>
          <m:r>
            <m:rPr>
              <m:sty m:val="p"/>
            </m:rPr>
            <m:t>≈</m:t>
          </m:r>
          <m:r>
            <m:t>Δ</m:t>
          </m:r>
          <m:sSup>
            <m:e>
              <m:r>
                <m:t>x</m:t>
              </m:r>
            </m:e>
            <m:sup>
              <m:r>
                <m:t>2</m:t>
              </m:r>
            </m:sup>
          </m:sSup>
          <m:r>
            <m:rPr>
              <m:sty m:val="p"/>
            </m:rPr>
            <m:t>+</m:t>
          </m:r>
          <m:r>
            <m:t>Δ</m:t>
          </m:r>
          <m:sSup>
            <m:e>
              <m:r>
                <m:t>y</m:t>
              </m:r>
            </m:e>
            <m:sup>
              <m:r>
                <m:t>2</m:t>
              </m:r>
            </m:sup>
          </m:sSup>
          <m:r>
            <m:t>  </m:t>
          </m:r>
          <m:r>
            <m:rPr>
              <m:sty m:val="p"/>
            </m:rPr>
            <m:t>⇒</m:t>
          </m:r>
          <m:r>
            <m:t>  </m:t>
          </m:r>
          <m:sSup>
            <m:e>
              <m:d>
                <m:dPr>
                  <m:begChr m:val="("/>
                  <m:endChr m:val=")"/>
                  <m:sepChr m:val=""/>
                  <m:grow/>
                </m:dPr>
                <m:e>
                  <m:f>
                    <m:fPr>
                      <m:type m:val="bar"/>
                    </m:fPr>
                    <m:num>
                      <m:r>
                        <m:t>Δ</m:t>
                      </m:r>
                      <m:r>
                        <m:t>S</m:t>
                      </m:r>
                    </m:num>
                    <m:den>
                      <m:r>
                        <m:t>Δ</m:t>
                      </m:r>
                      <m:r>
                        <m:t>x</m:t>
                      </m:r>
                    </m:den>
                  </m:f>
                </m:e>
              </m:d>
            </m:e>
            <m:sup>
              <m:r>
                <m:t>2</m:t>
              </m:r>
            </m:sup>
          </m:sSup>
          <m:r>
            <m:rPr>
              <m:sty m:val="p"/>
            </m:rPr>
            <m:t>≈</m:t>
          </m:r>
          <m:r>
            <m:t>1</m:t>
          </m:r>
          <m:r>
            <m:rPr>
              <m:sty m:val="p"/>
            </m:rPr>
            <m:t>+</m:t>
          </m:r>
          <m:sSup>
            <m:e>
              <m:d>
                <m:dPr>
                  <m:begChr m:val="("/>
                  <m:endChr m:val=")"/>
                  <m:sepChr m:val=""/>
                  <m:grow/>
                </m:dPr>
                <m:e>
                  <m:f>
                    <m:fPr>
                      <m:type m:val="bar"/>
                    </m:fPr>
                    <m:num>
                      <m:r>
                        <m:t>Δ</m:t>
                      </m:r>
                      <m:r>
                        <m:t>y</m:t>
                      </m:r>
                    </m:num>
                    <m:den>
                      <m:r>
                        <m:t>Δ</m:t>
                      </m:r>
                      <m:r>
                        <m:t>x</m:t>
                      </m:r>
                    </m:den>
                  </m:f>
                </m:e>
              </m:d>
            </m:e>
            <m:sup>
              <m:r>
                <m:t>2</m:t>
              </m:r>
            </m:sup>
          </m:sSup>
        </m:oMath>
      </m:oMathPara>
    </w:p>
    <w:p>
      <w:pPr>
        <w:pStyle w:val="FirstParagraph"/>
      </w:pPr>
      <w:r>
        <w:t xml:space="preserve">As</w:t>
      </w:r>
      <w:r>
        <w:t xml:space="preserve"> </w:t>
      </w:r>
      <m:oMath>
        <m:r>
          <m:t>Δ</m:t>
        </m:r>
        <m:r>
          <m:t>x</m:t>
        </m:r>
        <m:r>
          <m:rPr>
            <m:sty m:val="p"/>
          </m:rPr>
          <m:t>→</m:t>
        </m:r>
        <m:r>
          <m:t>0</m:t>
        </m:r>
      </m:oMath>
      <w:r>
        <w:t xml:space="preserve"> </w:t>
      </w:r>
      <w:r>
        <w:t xml:space="preserve">this becomes an identity</w:t>
      </w:r>
    </w:p>
    <w:p>
      <w:pPr>
        <w:pStyle w:val="BodyText"/>
      </w:pPr>
      <m:oMathPara>
        <m:oMathParaPr>
          <m:jc m:val="center"/>
        </m:oMathParaPr>
        <m:oMath>
          <m:sSup>
            <m:e>
              <m:d>
                <m:dPr>
                  <m:begChr m:val="("/>
                  <m:endChr m:val=")"/>
                  <m:sepChr m:val=""/>
                  <m:grow/>
                </m:dPr>
                <m:e>
                  <m:f>
                    <m:fPr>
                      <m:type m:val="bar"/>
                    </m:fPr>
                    <m:num>
                      <m:r>
                        <m:t>d</m:t>
                      </m:r>
                      <m:r>
                        <m:t>S</m:t>
                      </m:r>
                    </m:num>
                    <m:den>
                      <m:r>
                        <m:t>d</m:t>
                      </m:r>
                      <m:r>
                        <m:t>x</m:t>
                      </m:r>
                    </m:den>
                  </m:f>
                </m:e>
              </m:d>
            </m:e>
            <m:sup>
              <m:r>
                <m:t>2</m:t>
              </m:r>
            </m:sup>
          </m:sSup>
          <m:r>
            <m:rPr>
              <m:sty m:val="p"/>
            </m:rPr>
            <m:t>=</m:t>
          </m:r>
          <m:r>
            <m:t>1</m:t>
          </m:r>
          <m:r>
            <m:rPr>
              <m:sty m:val="p"/>
            </m:rPr>
            <m:t>+</m:t>
          </m:r>
          <m:sSup>
            <m:e>
              <m:d>
                <m:dPr>
                  <m:begChr m:val="("/>
                  <m:endChr m:val=")"/>
                  <m:sepChr m:val=""/>
                  <m:grow/>
                </m:dPr>
                <m:e>
                  <m:f>
                    <m:fPr>
                      <m:type m:val="bar"/>
                    </m:fPr>
                    <m:num>
                      <m:r>
                        <m:t>d</m:t>
                      </m:r>
                      <m:r>
                        <m:t>y</m:t>
                      </m:r>
                    </m:num>
                    <m:den>
                      <m:r>
                        <m:t>d</m:t>
                      </m:r>
                      <m:r>
                        <m:t>x</m:t>
                      </m:r>
                    </m:den>
                  </m:f>
                </m:e>
              </m:d>
            </m:e>
            <m:sup>
              <m:r>
                <m:t>2</m:t>
              </m:r>
            </m:sup>
          </m:sSup>
          <m:r>
            <m:t>  </m:t>
          </m:r>
          <m:r>
            <m:rPr>
              <m:sty m:val="p"/>
            </m:rPr>
            <m:t>⇒</m:t>
          </m:r>
          <m:r>
            <m:t>  </m:t>
          </m:r>
          <m:f>
            <m:fPr>
              <m:type m:val="bar"/>
            </m:fPr>
            <m:num>
              <m:r>
                <m:t>d</m:t>
              </m:r>
              <m:r>
                <m:t>S</m:t>
              </m:r>
            </m:num>
            <m:den>
              <m:r>
                <m:t>d</m:t>
              </m:r>
              <m:r>
                <m:t>x</m:t>
              </m:r>
            </m:den>
          </m:f>
          <m:r>
            <m:rPr>
              <m:sty m:val="p"/>
            </m:rPr>
            <m:t>=</m:t>
          </m:r>
          <m:rad>
            <m:radPr>
              <m:degHide m:val="1"/>
            </m:radPr>
            <m:deg/>
            <m:e>
              <m:r>
                <m:t>1</m:t>
              </m:r>
              <m:r>
                <m:rPr>
                  <m:sty m:val="p"/>
                </m:rPr>
                <m:t>+</m:t>
              </m:r>
              <m:sSup>
                <m:e>
                  <m:d>
                    <m:dPr>
                      <m:begChr m:val="("/>
                      <m:endChr m:val=")"/>
                      <m:sepChr m:val=""/>
                      <m:grow/>
                    </m:dPr>
                    <m:e>
                      <m:f>
                        <m:fPr>
                          <m:type m:val="bar"/>
                        </m:fPr>
                        <m:num>
                          <m:r>
                            <m:t>d</m:t>
                          </m:r>
                          <m:r>
                            <m:t>y</m:t>
                          </m:r>
                        </m:num>
                        <m:den>
                          <m:r>
                            <m:t>d</m:t>
                          </m:r>
                          <m:r>
                            <m:t>x</m:t>
                          </m:r>
                        </m:den>
                      </m:f>
                    </m:e>
                  </m:d>
                </m:e>
                <m:sup>
                  <m:r>
                    <m:t>2</m:t>
                  </m:r>
                </m:sup>
              </m:sSup>
            </m:e>
          </m:rad>
        </m:oMath>
      </m:oMathPara>
    </w:p>
    <w:p>
      <w:pPr>
        <w:pStyle w:val="FirstParagraph"/>
      </w:pPr>
      <w:r>
        <w:t xml:space="preserve">The arclength between</w:t>
      </w:r>
      <w:r>
        <w:t xml:space="preserve"> </w:t>
      </w:r>
      <m:oMath>
        <m:r>
          <m:t>x</m:t>
        </m:r>
        <m:r>
          <m:rPr>
            <m:sty m:val="p"/>
          </m:rPr>
          <m:t>=</m:t>
        </m:r>
        <m:r>
          <m:t>a</m:t>
        </m:r>
      </m:oMath>
      <w:r>
        <w:t xml:space="preserve"> </w:t>
      </w:r>
      <w:r>
        <w:t xml:space="preserve">and</w:t>
      </w:r>
      <w:r>
        <w:t xml:space="preserve"> </w:t>
      </w:r>
      <m:oMath>
        <m:r>
          <m:t>x</m:t>
        </m:r>
        <m:r>
          <m:rPr>
            <m:sty m:val="p"/>
          </m:rPr>
          <m:t>=</m:t>
        </m:r>
        <m:r>
          <m:t>b</m:t>
        </m:r>
      </m:oMath>
      <w:r>
        <w:t xml:space="preserve"> </w:t>
      </w:r>
      <w:r>
        <w:t xml:space="preserve">is then</w:t>
      </w:r>
    </w:p>
    <w:p>
      <w:pPr>
        <w:pStyle w:val="BodyText"/>
      </w:pPr>
      <m:oMathPara>
        <m:oMathParaPr>
          <m:jc m:val="center"/>
        </m:oMathParaPr>
        <m:oMath>
          <m:m>
            <m:mPr>
              <m:baseJc m:val="center"/>
              <m:plcHide m:val="1"/>
              <m:mcs>
                <m:mc>
                  <m:mcPr>
                    <m:mcJc m:val="right"/>
                    <m:count m:val="1"/>
                  </m:mcPr>
                </m:mc>
                <m:mc>
                  <m:mcPr>
                    <m:mcJc m:val="left"/>
                    <m:count m:val="1"/>
                  </m:mcPr>
                </m:mc>
              </m:mcs>
            </m:mPr>
            <m:mr>
              <m:e>
                <m:r>
                  <m:t>S</m:t>
                </m:r>
                <m:d>
                  <m:dPr>
                    <m:begChr m:val="("/>
                    <m:endChr m:val=")"/>
                    <m:sepChr m:val=""/>
                    <m:grow/>
                  </m:dPr>
                  <m:e>
                    <m:r>
                      <m:t>a</m:t>
                    </m:r>
                    <m:r>
                      <m:rPr>
                        <m:sty m:val="p"/>
                      </m:rPr>
                      <m:t>,</m:t>
                    </m:r>
                    <m:r>
                      <m:t>b</m:t>
                    </m:r>
                  </m:e>
                </m:d>
              </m:e>
              <m:e>
                <m:r>
                  <m:rPr>
                    <m:sty m:val="p"/>
                  </m:rPr>
                  <m:t>=</m:t>
                </m:r>
                <m:nary>
                  <m:naryPr>
                    <m:chr m:val="∫"/>
                    <m:limLoc m:val="subSup"/>
                    <m:subHide m:val="0"/>
                    <m:supHide m:val="0"/>
                  </m:naryPr>
                  <m:sub>
                    <m:r>
                      <m:t>a</m:t>
                    </m:r>
                  </m:sub>
                  <m:sup>
                    <m:r>
                      <m:t>b</m:t>
                    </m:r>
                  </m:sup>
                  <m:e>
                    <m:f>
                      <m:fPr>
                        <m:type m:val="bar"/>
                      </m:fPr>
                      <m:num>
                        <m:r>
                          <m:t>d</m:t>
                        </m:r>
                        <m:r>
                          <m:t>S</m:t>
                        </m:r>
                      </m:num>
                      <m:den>
                        <m:r>
                          <m:t>d</m:t>
                        </m:r>
                        <m:r>
                          <m:t>x</m:t>
                        </m:r>
                      </m:den>
                    </m:f>
                  </m:e>
                </m:nary>
                <m:r>
                  <m:t>d</m:t>
                </m:r>
                <m:r>
                  <m:t>x</m:t>
                </m:r>
              </m:e>
            </m:mr>
            <m:mr>
              <m:e/>
              <m:e>
                <m:r>
                  <m:rPr>
                    <m:sty m:val="p"/>
                  </m:rPr>
                  <m:t>=</m:t>
                </m:r>
                <m:nary>
                  <m:naryPr>
                    <m:chr m:val="∫"/>
                    <m:limLoc m:val="subSup"/>
                    <m:subHide m:val="0"/>
                    <m:supHide m:val="0"/>
                  </m:naryPr>
                  <m:sub>
                    <m:r>
                      <m:t>a</m:t>
                    </m:r>
                  </m:sub>
                  <m:sup>
                    <m:r>
                      <m:t>b</m:t>
                    </m:r>
                  </m:sup>
                  <m:e>
                    <m:rad>
                      <m:radPr>
                        <m:degHide m:val="1"/>
                      </m:radPr>
                      <m:deg/>
                      <m:e>
                        <m:r>
                          <m:t>1</m:t>
                        </m:r>
                        <m:r>
                          <m:rPr>
                            <m:sty m:val="p"/>
                          </m:rPr>
                          <m:t>+</m:t>
                        </m:r>
                        <m:sSup>
                          <m:e>
                            <m:d>
                              <m:dPr>
                                <m:begChr m:val="("/>
                                <m:endChr m:val=")"/>
                                <m:sepChr m:val=""/>
                                <m:grow/>
                              </m:dPr>
                              <m:e>
                                <m:f>
                                  <m:fPr>
                                    <m:type m:val="bar"/>
                                  </m:fPr>
                                  <m:num>
                                    <m:r>
                                      <m:t>d</m:t>
                                    </m:r>
                                    <m:r>
                                      <m:t>y</m:t>
                                    </m:r>
                                  </m:num>
                                  <m:den>
                                    <m:r>
                                      <m:t>d</m:t>
                                    </m:r>
                                    <m:r>
                                      <m:t>x</m:t>
                                    </m:r>
                                  </m:den>
                                </m:f>
                              </m:e>
                            </m:d>
                          </m:e>
                          <m:sup>
                            <m:r>
                              <m:t>2</m:t>
                            </m:r>
                          </m:sup>
                        </m:sSup>
                      </m:e>
                    </m:rad>
                  </m:e>
                </m:nary>
                <m:r>
                  <m:t>d</m:t>
                </m:r>
                <m:r>
                  <m:t>x</m:t>
                </m:r>
                <m:r>
                  <m:rPr>
                    <m:sty m:val="p"/>
                  </m:rPr>
                  <m:t>.</m:t>
                </m:r>
              </m:e>
            </m:mr>
          </m:m>
        </m:oMath>
      </m:oMathPara>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hyperlink" Id="rId22" Target="./arclengthInR.docx" TargetMode="External" /><Relationship Type="http://schemas.openxmlformats.org/officeDocument/2006/relationships/hyperlink" Id="rId20" Target="./arclengthInR.html" TargetMode="External" /><Relationship Type="http://schemas.openxmlformats.org/officeDocument/2006/relationships/hyperlink" Id="rId21" Target="./arclengthInR.pdf" TargetMode="External" /><Relationship Type="http://schemas.openxmlformats.org/officeDocument/2006/relationships/hyperlink" Id="rId26" Target="chrome-extension://kgejglhpjiefppelpmljglcjbhoiplfn/chromevox/background/options.html" TargetMode="External" /><Relationship Type="http://schemas.openxmlformats.org/officeDocument/2006/relationships/hyperlink" Id="rId25" Target="chrome://extensions/" TargetMode="External" /><Relationship Type="http://schemas.openxmlformats.org/officeDocument/2006/relationships/hyperlink" Id="rId24" Target="https://chrome.google.com/webstore/detail/screen-reader/kgejglhpjiefppelpmljglcjbhoiplfn?hl=en" TargetMode="External" /><Relationship Type="http://schemas.openxmlformats.org/officeDocument/2006/relationships/hyperlink" Id="rId40" Target="https://www.desmos.com/calculator/g5duc4kmfp" TargetMode="External" /><Relationship Type="http://schemas.openxmlformats.org/officeDocument/2006/relationships/hyperlink" Id="rId36" Target="https://www.desmos.com/calculator/t8dz6vlmnz" TargetMode="External" /></Relationships>
</file>

<file path=word/_rels/footnotes.xml.rels><?xml version="1.0" encoding="UTF-8"?><Relationships xmlns="http://schemas.openxmlformats.org/package/2006/relationships"><Relationship Type="http://schemas.openxmlformats.org/officeDocument/2006/relationships/hyperlink" Id="rId22" Target="./arclengthInR.docx" TargetMode="External" /><Relationship Type="http://schemas.openxmlformats.org/officeDocument/2006/relationships/hyperlink" Id="rId20" Target="./arclengthInR.html" TargetMode="External" /><Relationship Type="http://schemas.openxmlformats.org/officeDocument/2006/relationships/hyperlink" Id="rId21" Target="./arclengthInR.pdf" TargetMode="External" /><Relationship Type="http://schemas.openxmlformats.org/officeDocument/2006/relationships/hyperlink" Id="rId26" Target="chrome-extension://kgejglhpjiefppelpmljglcjbhoiplfn/chromevox/background/options.html" TargetMode="External" /><Relationship Type="http://schemas.openxmlformats.org/officeDocument/2006/relationships/hyperlink" Id="rId25" Target="chrome://extensions/" TargetMode="External" /><Relationship Type="http://schemas.openxmlformats.org/officeDocument/2006/relationships/hyperlink" Id="rId24" Target="https://chrome.google.com/webstore/detail/screen-reader/kgejglhpjiefppelpmljglcjbhoiplfn?hl=en" TargetMode="External" /><Relationship Type="http://schemas.openxmlformats.org/officeDocument/2006/relationships/hyperlink" Id="rId40" Target="https://www.desmos.com/calculator/g5duc4kmfp" TargetMode="External" /><Relationship Type="http://schemas.openxmlformats.org/officeDocument/2006/relationships/hyperlink" Id="rId36" Target="https://www.desmos.com/calculator/t8dz6vlm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creator/>
  <cp:keywords/>
  <dcterms:created xsi:type="dcterms:W3CDTF">2022-05-24T21:41:40Z</dcterms:created>
  <dcterms:modified xsi:type="dcterms:W3CDTF">2022-05-24T21:41:40Z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documentclass">
    <vt:lpwstr>article</vt:lpwstr>
  </property>
  <property fmtid="{D5CDD505-2E9C-101B-9397-08002B2CF9AE}" pid="4" name="linkcolor">
    <vt:lpwstr>blue</vt:lpwstr>
  </property>
  <property fmtid="{D5CDD505-2E9C-101B-9397-08002B2CF9AE}" pid="5" name="output">
    <vt:lpwstr/>
  </property>
</Properties>
</file>