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CB" w:rsidRDefault="00CA07CB"/>
    <w:p w:rsidR="00CA07CB" w:rsidRDefault="00CA07CB" w:rsidP="00CA07CB">
      <w:pPr>
        <w:jc w:val="right"/>
      </w:pPr>
    </w:p>
    <w:p w:rsidR="00CA07CB" w:rsidRDefault="00CA07CB"/>
    <w:p w:rsidR="00CA07CB" w:rsidRDefault="00CA07CB"/>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2873"/>
        <w:gridCol w:w="3594"/>
      </w:tblGrid>
      <w:tr w:rsidR="00CA07CB" w:rsidRPr="00CA07CB" w:rsidTr="005E6527">
        <w:tc>
          <w:tcPr>
            <w:tcW w:w="8556" w:type="dxa"/>
            <w:gridSpan w:val="3"/>
          </w:tcPr>
          <w:p w:rsidR="00CA07CB" w:rsidRPr="00CA07CB" w:rsidRDefault="00CA07CB" w:rsidP="00CA07CB">
            <w:pPr>
              <w:jc w:val="center"/>
              <w:rPr>
                <w:b/>
              </w:rPr>
            </w:pPr>
          </w:p>
          <w:p w:rsidR="00CA07CB" w:rsidRPr="00CA07CB" w:rsidRDefault="00CA07CB" w:rsidP="00CA07CB">
            <w:pPr>
              <w:jc w:val="center"/>
              <w:rPr>
                <w:b/>
              </w:rPr>
            </w:pPr>
            <w:r w:rsidRPr="00CA07CB">
              <w:rPr>
                <w:b/>
              </w:rPr>
              <w:t>UNIT ASSESSMENT FEEDBACK SHEET</w:t>
            </w:r>
          </w:p>
          <w:p w:rsidR="00CA07CB" w:rsidRPr="00CA07CB" w:rsidRDefault="00CA07CB" w:rsidP="00CA07CB">
            <w:pPr>
              <w:jc w:val="center"/>
              <w:rPr>
                <w:b/>
              </w:rPr>
            </w:pPr>
          </w:p>
        </w:tc>
      </w:tr>
      <w:tr w:rsidR="005E6527" w:rsidRPr="00CA07CB" w:rsidTr="005E6527">
        <w:tc>
          <w:tcPr>
            <w:tcW w:w="2089" w:type="dxa"/>
          </w:tcPr>
          <w:p w:rsidR="005E6527" w:rsidRPr="00CA07CB" w:rsidRDefault="005E6527" w:rsidP="00CA07CB">
            <w:pPr>
              <w:rPr>
                <w:b/>
              </w:rPr>
            </w:pPr>
            <w:r w:rsidRPr="00CA07CB">
              <w:rPr>
                <w:b/>
              </w:rPr>
              <w:t>UNIT NUMBER</w:t>
            </w:r>
          </w:p>
          <w:p w:rsidR="005E6527" w:rsidRPr="00CA07CB" w:rsidRDefault="005E6527" w:rsidP="00CA07CB">
            <w:pPr>
              <w:rPr>
                <w:b/>
              </w:rPr>
            </w:pPr>
            <w:r w:rsidRPr="00CA07CB">
              <w:rPr>
                <w:b/>
              </w:rPr>
              <w:t>AND TITLE</w:t>
            </w:r>
          </w:p>
        </w:tc>
        <w:tc>
          <w:tcPr>
            <w:tcW w:w="2873" w:type="dxa"/>
          </w:tcPr>
          <w:p w:rsidR="005E6527" w:rsidRPr="00CA07CB" w:rsidRDefault="005E6527" w:rsidP="00CA07CB">
            <w:pPr>
              <w:rPr>
                <w:b/>
              </w:rPr>
            </w:pPr>
            <w:r>
              <w:rPr>
                <w:b/>
              </w:rPr>
              <w:t>ME20021</w:t>
            </w:r>
          </w:p>
          <w:p w:rsidR="005E6527" w:rsidRPr="002C4E81" w:rsidRDefault="005E6527" w:rsidP="00CA07CB">
            <w:r>
              <w:t>Modelling Techniques 2</w:t>
            </w:r>
          </w:p>
          <w:p w:rsidR="005E6527" w:rsidRPr="00CA07CB" w:rsidRDefault="005E6527" w:rsidP="00CA07CB">
            <w:pPr>
              <w:rPr>
                <w:b/>
              </w:rPr>
            </w:pPr>
          </w:p>
        </w:tc>
        <w:tc>
          <w:tcPr>
            <w:tcW w:w="3594" w:type="dxa"/>
          </w:tcPr>
          <w:p w:rsidR="005E6527" w:rsidRDefault="005E6527" w:rsidP="00CA07CB">
            <w:pPr>
              <w:rPr>
                <w:b/>
              </w:rPr>
            </w:pPr>
            <w:r w:rsidRPr="00CA07CB">
              <w:rPr>
                <w:b/>
              </w:rPr>
              <w:t>UNIT CONVENOR(S)</w:t>
            </w:r>
          </w:p>
          <w:p w:rsidR="005E6527" w:rsidRPr="005F2953" w:rsidRDefault="005E6527" w:rsidP="00CA07CB">
            <w:r w:rsidRPr="005F2953">
              <w:t>Dr D N Johnston</w:t>
            </w:r>
          </w:p>
          <w:p w:rsidR="005E6527" w:rsidRPr="00CA07CB" w:rsidRDefault="005E6527" w:rsidP="00CA07CB">
            <w:pPr>
              <w:rPr>
                <w:b/>
              </w:rPr>
            </w:pPr>
            <w:r w:rsidRPr="005F2953">
              <w:t>Dr D A S Rees</w:t>
            </w:r>
          </w:p>
        </w:tc>
      </w:tr>
      <w:tr w:rsidR="00E55417" w:rsidRPr="00CA07CB" w:rsidTr="005E6527">
        <w:tc>
          <w:tcPr>
            <w:tcW w:w="2089" w:type="dxa"/>
          </w:tcPr>
          <w:p w:rsidR="00E55417" w:rsidRPr="00CA07CB" w:rsidRDefault="00E55417" w:rsidP="00CA07CB">
            <w:pPr>
              <w:rPr>
                <w:b/>
              </w:rPr>
            </w:pPr>
            <w:r w:rsidRPr="00CA07CB">
              <w:rPr>
                <w:b/>
              </w:rPr>
              <w:t>DATE</w:t>
            </w:r>
          </w:p>
        </w:tc>
        <w:tc>
          <w:tcPr>
            <w:tcW w:w="6467" w:type="dxa"/>
            <w:gridSpan w:val="2"/>
          </w:tcPr>
          <w:p w:rsidR="00E55417" w:rsidRPr="00CA07CB" w:rsidRDefault="002C2320" w:rsidP="002C2320">
            <w:pPr>
              <w:rPr>
                <w:b/>
              </w:rPr>
            </w:pPr>
            <w:r>
              <w:rPr>
                <w:b/>
              </w:rPr>
              <w:t>1</w:t>
            </w:r>
            <w:r w:rsidR="00B40F55">
              <w:rPr>
                <w:b/>
              </w:rPr>
              <w:t>9th</w:t>
            </w:r>
            <w:r w:rsidR="005F2953">
              <w:rPr>
                <w:b/>
              </w:rPr>
              <w:t xml:space="preserve"> May 201</w:t>
            </w:r>
            <w:r>
              <w:rPr>
                <w:b/>
              </w:rPr>
              <w:t>6</w:t>
            </w:r>
          </w:p>
        </w:tc>
      </w:tr>
      <w:tr w:rsidR="00CA07CB" w:rsidRPr="00CA07CB" w:rsidTr="005E6527">
        <w:tc>
          <w:tcPr>
            <w:tcW w:w="2089" w:type="dxa"/>
          </w:tcPr>
          <w:p w:rsidR="00CA07CB" w:rsidRPr="00CA07CB" w:rsidRDefault="00CA07CB" w:rsidP="00CA07CB">
            <w:pPr>
              <w:rPr>
                <w:b/>
              </w:rPr>
            </w:pPr>
            <w:r w:rsidRPr="00CA07CB">
              <w:rPr>
                <w:b/>
              </w:rPr>
              <w:t>QUESTION 1</w:t>
            </w:r>
          </w:p>
        </w:tc>
        <w:tc>
          <w:tcPr>
            <w:tcW w:w="6467" w:type="dxa"/>
            <w:gridSpan w:val="2"/>
          </w:tcPr>
          <w:p w:rsidR="00A85BCF" w:rsidRDefault="00155BCB" w:rsidP="00B40F55">
            <w:r>
              <w:t>Almost all</w:t>
            </w:r>
            <w:r w:rsidR="00D57BF1" w:rsidRPr="00610762">
              <w:t xml:space="preserve"> students attempted this question</w:t>
            </w:r>
            <w:r w:rsidR="00B40F55">
              <w:t>.</w:t>
            </w:r>
          </w:p>
          <w:p w:rsidR="00B40F55" w:rsidRDefault="00B40F55" w:rsidP="002C2320">
            <w:pPr>
              <w:pStyle w:val="ListParagraph"/>
              <w:numPr>
                <w:ilvl w:val="0"/>
                <w:numId w:val="1"/>
              </w:numPr>
            </w:pPr>
            <w:r w:rsidRPr="00B40F55">
              <w:t>Mainly fine</w:t>
            </w:r>
            <w:r w:rsidR="002C2320">
              <w:t xml:space="preserve">. The commonest large error was not grouping </w:t>
            </w:r>
            <w:proofErr w:type="gramStart"/>
            <w:r w:rsidR="002C2320">
              <w:t>u(</w:t>
            </w:r>
            <w:proofErr w:type="gramEnd"/>
            <w:r w:rsidR="002C2320">
              <w:t xml:space="preserve">n+1, i) terms to the LHS. Some didn’t define </w:t>
            </w:r>
            <w:r w:rsidR="002C2320" w:rsidRPr="002C2320">
              <w:rPr>
                <w:i/>
              </w:rPr>
              <w:t>p</w:t>
            </w:r>
            <w:r>
              <w:t>.</w:t>
            </w:r>
            <w:r w:rsidR="002C2320">
              <w:t xml:space="preserve"> </w:t>
            </w:r>
          </w:p>
          <w:p w:rsidR="002C2320" w:rsidRDefault="002C2320" w:rsidP="002C2320">
            <w:pPr>
              <w:pStyle w:val="ListParagraph"/>
              <w:numPr>
                <w:ilvl w:val="0"/>
                <w:numId w:val="1"/>
              </w:numPr>
            </w:pPr>
            <w:r>
              <w:t xml:space="preserve">Mainly ok. Some assumed </w:t>
            </w:r>
            <w:r w:rsidRPr="009E7A61">
              <w:rPr>
                <w:position w:val="-24"/>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31.45pt" o:ole="">
                  <v:imagedata r:id="rId8" o:title=""/>
                </v:shape>
                <o:OLEObject Type="Embed" ProgID="Equation.3" ShapeID="_x0000_i1025" DrawAspect="Content" ObjectID="_1525615521" r:id="rId9"/>
              </w:object>
            </w:r>
            <w:r>
              <w:t xml:space="preserve"> at </w:t>
            </w:r>
            <w:r w:rsidR="00092F69">
              <w:t xml:space="preserve">the </w:t>
            </w:r>
            <w:r>
              <w:t>boundary.</w:t>
            </w:r>
            <w:r w:rsidR="00092F69">
              <w:t xml:space="preserve"> Some put the code in the wrong place.</w:t>
            </w:r>
          </w:p>
          <w:p w:rsidR="002C2320" w:rsidRPr="00B40F55" w:rsidRDefault="002C2320" w:rsidP="002C2320">
            <w:pPr>
              <w:pStyle w:val="ListParagraph"/>
              <w:numPr>
                <w:ilvl w:val="0"/>
                <w:numId w:val="1"/>
              </w:numPr>
            </w:pPr>
            <w:r>
              <w:t xml:space="preserve">Most got the correct quadratic in </w:t>
            </w:r>
            <w:r w:rsidRPr="002C2320">
              <w:rPr>
                <w:i/>
              </w:rPr>
              <w:t>k</w:t>
            </w:r>
            <w:proofErr w:type="gramStart"/>
            <w:r>
              <w:t xml:space="preserve">: </w:t>
            </w:r>
            <w:proofErr w:type="gramEnd"/>
            <m:oMath>
              <m:sSup>
                <m:sSupPr>
                  <m:ctrlPr>
                    <w:rPr>
                      <w:rFonts w:ascii="Cambria Math" w:hAnsi="Cambria Math" w:cs="Arial"/>
                      <w:i/>
                    </w:rPr>
                  </m:ctrlPr>
                </m:sSupPr>
                <m:e>
                  <m:r>
                    <w:rPr>
                      <w:rFonts w:ascii="Cambria Math" w:hAnsi="Cambria Math" w:cs="Arial"/>
                    </w:rPr>
                    <m:t>k</m:t>
                  </m:r>
                </m:e>
                <m:sup>
                  <m:r>
                    <w:rPr>
                      <w:rFonts w:ascii="Cambria Math" w:hAnsi="Cambria Math" w:cs="Arial"/>
                    </w:rPr>
                    <m:t>2</m:t>
                  </m:r>
                </m:sup>
              </m:sSup>
              <m:r>
                <w:rPr>
                  <w:rFonts w:ascii="Cambria Math" w:hAnsi="Cambria Math" w:cs="Arial"/>
                </w:rPr>
                <m:t>+8pk-1=0</m:t>
              </m:r>
            </m:oMath>
            <w:r>
              <w:t xml:space="preserve">, and the correct solution: </w:t>
            </w:r>
            <m:oMath>
              <m:r>
                <w:rPr>
                  <w:rFonts w:ascii="Cambria Math" w:hAnsi="Cambria Math" w:cs="Arial"/>
                </w:rPr>
                <m:t>k=-4p±</m:t>
              </m:r>
              <m:rad>
                <m:radPr>
                  <m:degHide m:val="1"/>
                  <m:ctrlPr>
                    <w:rPr>
                      <w:rFonts w:ascii="Cambria Math" w:hAnsi="Cambria Math" w:cs="Arial"/>
                      <w:i/>
                    </w:rPr>
                  </m:ctrlPr>
                </m:radPr>
                <m:deg/>
                <m:e>
                  <m:r>
                    <w:rPr>
                      <w:rFonts w:ascii="Cambria Math" w:hAnsi="Cambria Math" w:cs="Arial"/>
                    </w:rPr>
                    <m:t>16</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+1</m:t>
                  </m:r>
                </m:e>
              </m:rad>
            </m:oMath>
            <w:r>
              <w:t xml:space="preserve">. Some then said </w:t>
            </w:r>
            <w:proofErr w:type="gramStart"/>
            <w:r>
              <w:t xml:space="preserve">that </w:t>
            </w:r>
            <w:proofErr w:type="gramEnd"/>
            <m:oMath>
              <m:rad>
                <m:radPr>
                  <m:degHide m:val="1"/>
                  <m:ctrlPr>
                    <w:rPr>
                      <w:rFonts w:ascii="Cambria Math" w:hAnsi="Cambria Math" w:cs="Arial"/>
                      <w:i/>
                    </w:rPr>
                  </m:ctrlPr>
                </m:radPr>
                <m:deg/>
                <m:e>
                  <m:r>
                    <w:rPr>
                      <w:rFonts w:ascii="Cambria Math" w:hAnsi="Cambria Math" w:cs="Arial"/>
                    </w:rPr>
                    <m:t>16</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+1</m:t>
                  </m:r>
                </m:e>
              </m:rad>
              <m:r>
                <w:rPr>
                  <w:rFonts w:ascii="Cambria Math" w:hAnsi="Cambria Math"/>
                </w:rPr>
                <m:t>=4p+1</m:t>
              </m:r>
            </m:oMath>
            <w:r>
              <w:t xml:space="preserve">. This is basic </w:t>
            </w:r>
            <w:r w:rsidR="00155BCB">
              <w:t xml:space="preserve">GCSE-level </w:t>
            </w:r>
            <w:r>
              <w:t>algebra!</w:t>
            </w:r>
            <w:r>
              <w:br/>
              <w:t>Some didn’t state the criteria for stability.</w:t>
            </w:r>
            <w:r>
              <w:br/>
              <w:t xml:space="preserve">Very few showed explicitly that one root has a magnitude greater than one. It is simple to show that </w:t>
            </w:r>
            <m:oMath>
              <m:r>
                <w:rPr>
                  <w:rFonts w:ascii="Cambria Math" w:hAnsi="Cambria Math" w:cs="Arial"/>
                </w:rPr>
                <m:t>-4p-</m:t>
              </m:r>
              <m:rad>
                <m:radPr>
                  <m:degHide m:val="1"/>
                  <m:ctrlPr>
                    <w:rPr>
                      <w:rFonts w:ascii="Cambria Math" w:hAnsi="Cambria Math" w:cs="Arial"/>
                      <w:i/>
                    </w:rPr>
                  </m:ctrlPr>
                </m:radPr>
                <m:deg/>
                <m:e>
                  <m:r>
                    <w:rPr>
                      <w:rFonts w:ascii="Cambria Math" w:hAnsi="Cambria Math" w:cs="Arial"/>
                    </w:rPr>
                    <m:t>16</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+1</m:t>
                  </m:r>
                </m:e>
              </m:rad>
            </m:oMath>
            <w:r>
              <w:t xml:space="preserve"> is greater than 1 in magnitude, as both terms are negative and the second term has a magnitude greater than 1. </w:t>
            </w:r>
          </w:p>
        </w:tc>
      </w:tr>
      <w:tr w:rsidR="00CA07CB" w:rsidTr="005E6527">
        <w:tc>
          <w:tcPr>
            <w:tcW w:w="2089" w:type="dxa"/>
          </w:tcPr>
          <w:p w:rsidR="00CA07CB" w:rsidRPr="00CA07CB" w:rsidRDefault="00CA07CB" w:rsidP="00CA07CB">
            <w:pPr>
              <w:rPr>
                <w:b/>
              </w:rPr>
            </w:pPr>
            <w:r w:rsidRPr="00CA07CB">
              <w:rPr>
                <w:b/>
              </w:rPr>
              <w:t>QUESTION 2</w:t>
            </w:r>
          </w:p>
        </w:tc>
        <w:tc>
          <w:tcPr>
            <w:tcW w:w="6467" w:type="dxa"/>
            <w:gridSpan w:val="2"/>
          </w:tcPr>
          <w:p w:rsidR="00155BCB" w:rsidRDefault="00155BCB" w:rsidP="00155BCB">
            <w:r>
              <w:t>About 2/3 of students attempted this question.</w:t>
            </w:r>
          </w:p>
          <w:p w:rsidR="00A85BCF" w:rsidRDefault="00155BCB" w:rsidP="00155BCB">
            <w:pPr>
              <w:pStyle w:val="ListParagraph"/>
              <w:numPr>
                <w:ilvl w:val="0"/>
                <w:numId w:val="2"/>
              </w:numPr>
            </w:pPr>
            <w:r>
              <w:t>Good. Almost all rearranged the equation correctly and described the method. Could also say that it is suitable for parallel processing/matrix algebra.</w:t>
            </w:r>
          </w:p>
          <w:p w:rsidR="00155BCB" w:rsidRDefault="00155BCB" w:rsidP="00155BCB">
            <w:pPr>
              <w:pStyle w:val="ListParagraph"/>
              <w:numPr>
                <w:ilvl w:val="0"/>
                <w:numId w:val="2"/>
              </w:numPr>
            </w:pPr>
            <w:r>
              <w:t>Good. Note that over-relaxation cannot be applied directly to Jacobi as it will be unstable; apply it to Gauss Seidel instead.</w:t>
            </w:r>
          </w:p>
          <w:p w:rsidR="00155BCB" w:rsidRDefault="00155BCB" w:rsidP="00155BCB">
            <w:pPr>
              <w:pStyle w:val="ListParagraph"/>
              <w:numPr>
                <w:ilvl w:val="0"/>
                <w:numId w:val="2"/>
              </w:numPr>
            </w:pPr>
            <w:r>
              <w:t>Generally good. Most showed the results neatly, using tables, but often the working or the use of Neumann boundaries weren’t shown clearly. Credit was given for right method but wrong numbers.</w:t>
            </w:r>
          </w:p>
        </w:tc>
      </w:tr>
      <w:tr w:rsidR="00CA07CB" w:rsidTr="005E6527">
        <w:tc>
          <w:tcPr>
            <w:tcW w:w="2089" w:type="dxa"/>
          </w:tcPr>
          <w:p w:rsidR="00CA07CB" w:rsidRPr="00CA07CB" w:rsidRDefault="00CA07CB" w:rsidP="00CA07CB">
            <w:pPr>
              <w:rPr>
                <w:b/>
              </w:rPr>
            </w:pPr>
            <w:r w:rsidRPr="00CA07CB">
              <w:rPr>
                <w:b/>
              </w:rPr>
              <w:t>QUESTION 3</w:t>
            </w:r>
          </w:p>
        </w:tc>
        <w:tc>
          <w:tcPr>
            <w:tcW w:w="6467" w:type="dxa"/>
            <w:gridSpan w:val="2"/>
          </w:tcPr>
          <w:p w:rsidR="00AD260B" w:rsidRDefault="00AD260B" w:rsidP="008D3784">
            <w:r>
              <w:t xml:space="preserve">Almost all students attempted this question.  In part (a) the chief issue was the omission of the </w:t>
            </w:r>
            <w:r w:rsidRPr="00AD260B">
              <w:rPr>
                <w:i/>
              </w:rPr>
              <w:t>A</w:t>
            </w:r>
            <w:r w:rsidRPr="00AD260B">
              <w:rPr>
                <w:i/>
                <w:vertAlign w:val="subscript"/>
              </w:rPr>
              <w:t>0</w:t>
            </w:r>
            <w:r w:rsidRPr="00AD260B">
              <w:rPr>
                <w:vertAlign w:val="subscript"/>
              </w:rPr>
              <w:t xml:space="preserve"> </w:t>
            </w:r>
            <w:r>
              <w:t>term in the series which often appeared magically in part (b) with no explanation!  A few attempted the separation of variables using the very slow method described (and warned against!) in section 3 of the online notes; this took about 3 pages rather than less than half a page to do.</w:t>
            </w:r>
          </w:p>
          <w:p w:rsidR="00AD260B" w:rsidRDefault="00AD260B" w:rsidP="008D3784"/>
          <w:p w:rsidR="005E6527" w:rsidRDefault="00AD260B" w:rsidP="008D3784">
            <w:r>
              <w:t xml:space="preserve">Only a sizeable minority managed part (c) even though it is in the online notes.  In part (d) I was treated to a large number of highly amusing but incorrect descriptions of the significance of </w:t>
            </w:r>
            <w:r>
              <w:lastRenderedPageBreak/>
              <w:t>½</w:t>
            </w:r>
            <w:r w:rsidRPr="00AD260B">
              <w:rPr>
                <w:i/>
              </w:rPr>
              <w:t>A</w:t>
            </w:r>
            <w:r w:rsidRPr="00AD260B">
              <w:rPr>
                <w:i/>
                <w:vertAlign w:val="subscript"/>
              </w:rPr>
              <w:t>0</w:t>
            </w:r>
            <w:r>
              <w:rPr>
                <w:i/>
                <w:vertAlign w:val="subscript"/>
              </w:rPr>
              <w:t xml:space="preserve">.  </w:t>
            </w:r>
            <w:r>
              <w:t>These will be posted elsewhere for your delight.</w:t>
            </w:r>
          </w:p>
          <w:p w:rsidR="00AD260B" w:rsidRDefault="00AD260B" w:rsidP="008D3784"/>
          <w:p w:rsidR="00AD260B" w:rsidRPr="00AD260B" w:rsidRDefault="00AD260B" w:rsidP="008D3784">
            <w:r>
              <w:t xml:space="preserve">Generally the integration by parts went well.  Some couldn’t bring themselves to believe that the summation should be over even values of </w:t>
            </w:r>
            <w:r w:rsidRPr="00AD260B">
              <w:rPr>
                <w:i/>
              </w:rPr>
              <w:t>n</w:t>
            </w:r>
            <w:r>
              <w:t xml:space="preserve">.  </w:t>
            </w:r>
          </w:p>
        </w:tc>
      </w:tr>
      <w:tr w:rsidR="00CA07CB" w:rsidTr="005E6527">
        <w:tc>
          <w:tcPr>
            <w:tcW w:w="2089" w:type="dxa"/>
          </w:tcPr>
          <w:p w:rsidR="00CA07CB" w:rsidRPr="00CA07CB" w:rsidRDefault="00CA07CB" w:rsidP="00CA07CB">
            <w:pPr>
              <w:rPr>
                <w:b/>
              </w:rPr>
            </w:pPr>
            <w:r w:rsidRPr="00CA07CB">
              <w:rPr>
                <w:b/>
              </w:rPr>
              <w:lastRenderedPageBreak/>
              <w:t>QUESTION 4</w:t>
            </w:r>
          </w:p>
        </w:tc>
        <w:tc>
          <w:tcPr>
            <w:tcW w:w="6467" w:type="dxa"/>
            <w:gridSpan w:val="2"/>
          </w:tcPr>
          <w:p w:rsidR="005E6527" w:rsidRDefault="00AD260B" w:rsidP="007A0017">
            <w:r>
              <w:t>Probably about half the class attempted this question.  The bookwork in part (a) went well, and most nego</w:t>
            </w:r>
            <w:r w:rsidR="007A0017">
              <w:t>tiated part (b) successfully.  The manner in p</w:t>
            </w:r>
            <w:r>
              <w:t xml:space="preserve">art (c) </w:t>
            </w:r>
            <w:r w:rsidR="007A0017">
              <w:t xml:space="preserve">may be answered </w:t>
            </w:r>
            <w:r>
              <w:t xml:space="preserve">becomes quite clear if a diagram of the step-function solution is sketched.  </w:t>
            </w:r>
            <w:r w:rsidR="007A0017">
              <w:t xml:space="preserve">Some of the answers in part (d) seemed to be a repetition of the “what is the physical meaning of the solution?” for a different problem on problem sheet 5 </w:t>
            </w:r>
            <w:proofErr w:type="spellStart"/>
            <w:r w:rsidR="007A0017">
              <w:t>queston</w:t>
            </w:r>
            <w:proofErr w:type="spellEnd"/>
            <w:r w:rsidR="007A0017">
              <w:t xml:space="preserve"> 1, which is completely different from that of the exam question!</w:t>
            </w:r>
            <w:bookmarkStart w:id="0" w:name="_GoBack"/>
            <w:bookmarkEnd w:id="0"/>
          </w:p>
        </w:tc>
      </w:tr>
    </w:tbl>
    <w:p w:rsidR="00CA07CB" w:rsidRDefault="00CA07CB"/>
    <w:sectPr w:rsidR="00CA07C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1F5" w:rsidRDefault="002261F5">
      <w:r>
        <w:separator/>
      </w:r>
    </w:p>
  </w:endnote>
  <w:endnote w:type="continuationSeparator" w:id="0">
    <w:p w:rsidR="002261F5" w:rsidRDefault="0022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1F5" w:rsidRDefault="002261F5">
      <w:r>
        <w:separator/>
      </w:r>
    </w:p>
  </w:footnote>
  <w:footnote w:type="continuationSeparator" w:id="0">
    <w:p w:rsidR="002261F5" w:rsidRDefault="00226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55" w:rsidRDefault="00B40F55" w:rsidP="00CA07CB">
    <w:pPr>
      <w:pStyle w:val="Header"/>
    </w:pPr>
    <w:r w:rsidRPr="00F26E40">
      <w:rPr>
        <w:rFonts w:ascii="Arial" w:hAnsi="Arial" w:cs="Arial"/>
        <w:b/>
      </w:rPr>
      <w:t>Department of Mechanical Engineering</w:t>
    </w:r>
    <w:r w:rsidRPr="00F26E40">
      <w:rPr>
        <w:rFonts w:ascii="Arial" w:hAnsi="Arial" w:cs="Arial"/>
        <w:b/>
      </w:rPr>
      <w:tab/>
    </w:r>
    <w:r>
      <w:rPr>
        <w:rFonts w:ascii="Arial" w:hAnsi="Arial"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A614D"/>
    <w:multiLevelType w:val="hybridMultilevel"/>
    <w:tmpl w:val="41D28336"/>
    <w:lvl w:ilvl="0" w:tplc="19B80F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B75968"/>
    <w:multiLevelType w:val="hybridMultilevel"/>
    <w:tmpl w:val="4D7860E6"/>
    <w:lvl w:ilvl="0" w:tplc="B9E4F33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1D"/>
    <w:rsid w:val="00092F69"/>
    <w:rsid w:val="00155BCB"/>
    <w:rsid w:val="002261F5"/>
    <w:rsid w:val="00240C18"/>
    <w:rsid w:val="002C2320"/>
    <w:rsid w:val="003B5993"/>
    <w:rsid w:val="004946C8"/>
    <w:rsid w:val="005E6527"/>
    <w:rsid w:val="005F2953"/>
    <w:rsid w:val="00610762"/>
    <w:rsid w:val="007171CA"/>
    <w:rsid w:val="007A0017"/>
    <w:rsid w:val="008D3784"/>
    <w:rsid w:val="0090461D"/>
    <w:rsid w:val="009221A9"/>
    <w:rsid w:val="00A85BCF"/>
    <w:rsid w:val="00AD260B"/>
    <w:rsid w:val="00B0275C"/>
    <w:rsid w:val="00B40F55"/>
    <w:rsid w:val="00C85C63"/>
    <w:rsid w:val="00CA07CB"/>
    <w:rsid w:val="00D553E4"/>
    <w:rsid w:val="00D57BF1"/>
    <w:rsid w:val="00DD5BD7"/>
    <w:rsid w:val="00E55417"/>
    <w:rsid w:val="00F51F42"/>
    <w:rsid w:val="00FC1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26E40"/>
    <w:pPr>
      <w:tabs>
        <w:tab w:val="center" w:pos="4153"/>
        <w:tab w:val="right" w:pos="8306"/>
      </w:tabs>
    </w:pPr>
  </w:style>
  <w:style w:type="paragraph" w:styleId="Footer">
    <w:name w:val="footer"/>
    <w:basedOn w:val="Normal"/>
    <w:rsid w:val="00F26E40"/>
    <w:pPr>
      <w:tabs>
        <w:tab w:val="center" w:pos="4153"/>
        <w:tab w:val="right" w:pos="8306"/>
      </w:tabs>
    </w:pPr>
  </w:style>
  <w:style w:type="paragraph" w:styleId="BalloonText">
    <w:name w:val="Balloon Text"/>
    <w:basedOn w:val="Normal"/>
    <w:link w:val="BalloonTextChar"/>
    <w:rsid w:val="005F2953"/>
    <w:rPr>
      <w:rFonts w:ascii="Tahoma" w:hAnsi="Tahoma" w:cs="Tahoma"/>
      <w:sz w:val="16"/>
      <w:szCs w:val="16"/>
    </w:rPr>
  </w:style>
  <w:style w:type="character" w:customStyle="1" w:styleId="BalloonTextChar">
    <w:name w:val="Balloon Text Char"/>
    <w:basedOn w:val="DefaultParagraphFont"/>
    <w:link w:val="BalloonText"/>
    <w:rsid w:val="005F2953"/>
    <w:rPr>
      <w:rFonts w:ascii="Tahoma" w:hAnsi="Tahoma" w:cs="Tahoma"/>
      <w:sz w:val="16"/>
      <w:szCs w:val="16"/>
    </w:rPr>
  </w:style>
  <w:style w:type="paragraph" w:styleId="ListParagraph">
    <w:name w:val="List Paragraph"/>
    <w:basedOn w:val="Normal"/>
    <w:uiPriority w:val="34"/>
    <w:qFormat/>
    <w:rsid w:val="00B40F55"/>
    <w:pPr>
      <w:ind w:left="720"/>
      <w:contextualSpacing/>
    </w:pPr>
  </w:style>
  <w:style w:type="character" w:styleId="PlaceholderText">
    <w:name w:val="Placeholder Text"/>
    <w:basedOn w:val="DefaultParagraphFont"/>
    <w:uiPriority w:val="99"/>
    <w:semiHidden/>
    <w:rsid w:val="00B40F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4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26E40"/>
    <w:pPr>
      <w:tabs>
        <w:tab w:val="center" w:pos="4153"/>
        <w:tab w:val="right" w:pos="8306"/>
      </w:tabs>
    </w:pPr>
  </w:style>
  <w:style w:type="paragraph" w:styleId="Footer">
    <w:name w:val="footer"/>
    <w:basedOn w:val="Normal"/>
    <w:rsid w:val="00F26E40"/>
    <w:pPr>
      <w:tabs>
        <w:tab w:val="center" w:pos="4153"/>
        <w:tab w:val="right" w:pos="8306"/>
      </w:tabs>
    </w:pPr>
  </w:style>
  <w:style w:type="paragraph" w:styleId="BalloonText">
    <w:name w:val="Balloon Text"/>
    <w:basedOn w:val="Normal"/>
    <w:link w:val="BalloonTextChar"/>
    <w:rsid w:val="005F2953"/>
    <w:rPr>
      <w:rFonts w:ascii="Tahoma" w:hAnsi="Tahoma" w:cs="Tahoma"/>
      <w:sz w:val="16"/>
      <w:szCs w:val="16"/>
    </w:rPr>
  </w:style>
  <w:style w:type="character" w:customStyle="1" w:styleId="BalloonTextChar">
    <w:name w:val="Balloon Text Char"/>
    <w:basedOn w:val="DefaultParagraphFont"/>
    <w:link w:val="BalloonText"/>
    <w:rsid w:val="005F2953"/>
    <w:rPr>
      <w:rFonts w:ascii="Tahoma" w:hAnsi="Tahoma" w:cs="Tahoma"/>
      <w:sz w:val="16"/>
      <w:szCs w:val="16"/>
    </w:rPr>
  </w:style>
  <w:style w:type="paragraph" w:styleId="ListParagraph">
    <w:name w:val="List Paragraph"/>
    <w:basedOn w:val="Normal"/>
    <w:uiPriority w:val="34"/>
    <w:qFormat/>
    <w:rsid w:val="00B40F55"/>
    <w:pPr>
      <w:ind w:left="720"/>
      <w:contextualSpacing/>
    </w:pPr>
  </w:style>
  <w:style w:type="character" w:styleId="PlaceholderText">
    <w:name w:val="Placeholder Text"/>
    <w:basedOn w:val="DefaultParagraphFont"/>
    <w:uiPriority w:val="99"/>
    <w:semiHidden/>
    <w:rsid w:val="00B40F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UNIT ASSESSMENT FEEDBACK SHEET</vt:lpstr>
    </vt:vector>
  </TitlesOfParts>
  <Company>University of Bath</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ASSESSMENT FEEDBACK SHEET</dc:title>
  <dc:creator>ensjd</dc:creator>
  <cp:lastModifiedBy>dasrees</cp:lastModifiedBy>
  <cp:revision>2</cp:revision>
  <cp:lastPrinted>2010-01-18T16:32:00Z</cp:lastPrinted>
  <dcterms:created xsi:type="dcterms:W3CDTF">2016-05-24T16:19:00Z</dcterms:created>
  <dcterms:modified xsi:type="dcterms:W3CDTF">2016-05-24T16:19:00Z</dcterms:modified>
</cp:coreProperties>
</file>