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6552" w:rsidRPr="00660A0E" w:rsidRDefault="00D56552" w:rsidP="008C4BDB">
      <w:pPr>
        <w:pStyle w:val="Heading1"/>
      </w:pPr>
      <w:r w:rsidRPr="00660A0E">
        <w:t>Feedback from discussions</w:t>
      </w:r>
    </w:p>
    <w:p w:rsidR="00D56552" w:rsidRPr="00660A0E" w:rsidRDefault="00D56552" w:rsidP="00D56552">
      <w:r w:rsidRPr="00660A0E">
        <w:t xml:space="preserve">Notes taken </w:t>
      </w:r>
      <w:r w:rsidR="00884E0B" w:rsidRPr="00660A0E">
        <w:t xml:space="preserve">and written up </w:t>
      </w:r>
      <w:r w:rsidRPr="00660A0E">
        <w:t xml:space="preserve">by Emma </w:t>
      </w:r>
      <w:proofErr w:type="spellStart"/>
      <w:r w:rsidRPr="00660A0E">
        <w:t>Cliffe</w:t>
      </w:r>
      <w:proofErr w:type="spellEnd"/>
    </w:p>
    <w:p w:rsidR="00D56552" w:rsidRPr="00660A0E" w:rsidRDefault="00D56552" w:rsidP="00D56552">
      <w:r w:rsidRPr="00660A0E">
        <w:t>Groups were asked to summarise key points they covered during their discussions.</w:t>
      </w:r>
    </w:p>
    <w:p w:rsidR="00CE1606" w:rsidRPr="00660A0E" w:rsidRDefault="00CE1606" w:rsidP="008C4BDB">
      <w:pPr>
        <w:pStyle w:val="Heading2"/>
      </w:pPr>
      <w:r w:rsidRPr="00660A0E">
        <w:t>Group 1</w:t>
      </w:r>
    </w:p>
    <w:p w:rsidR="002A0BC6" w:rsidRPr="00660A0E" w:rsidRDefault="00BB07EF" w:rsidP="00BB07EF">
      <w:r w:rsidRPr="00660A0E">
        <w:t>This group focussed their discussions by considering ‘Anna’ from the given scenarios. They noted first that supporting Anna would require a collaborative approach:</w:t>
      </w:r>
    </w:p>
    <w:p w:rsidR="002A0BC6" w:rsidRPr="00660A0E" w:rsidRDefault="00884E0B" w:rsidP="00BB07EF">
      <w:pPr>
        <w:numPr>
          <w:ilvl w:val="0"/>
          <w:numId w:val="3"/>
        </w:numPr>
      </w:pPr>
      <w:r w:rsidRPr="00660A0E">
        <w:t>Anna would require support from other professionals, perhaps study support tuition and Cognitive Behavioural Therapy – how important would it be for these professionals to understand the mathematical nature of her studies?</w:t>
      </w:r>
    </w:p>
    <w:p w:rsidR="002A0BC6" w:rsidRPr="00660A0E" w:rsidRDefault="00884E0B" w:rsidP="00BB07EF">
      <w:pPr>
        <w:numPr>
          <w:ilvl w:val="0"/>
          <w:numId w:val="3"/>
        </w:numPr>
      </w:pPr>
      <w:r w:rsidRPr="00660A0E">
        <w:t xml:space="preserve">Adjustments to assessments might need to be considered. </w:t>
      </w:r>
      <w:r w:rsidR="002A0BC6" w:rsidRPr="00660A0E">
        <w:t xml:space="preserve">For exam conditions </w:t>
      </w:r>
      <w:r w:rsidRPr="00660A0E">
        <w:t>would</w:t>
      </w:r>
      <w:r w:rsidR="002A0BC6" w:rsidRPr="00660A0E">
        <w:t xml:space="preserve"> removing the time barrier</w:t>
      </w:r>
      <w:r w:rsidRPr="00660A0E">
        <w:t xml:space="preserve"> be suitable?</w:t>
      </w:r>
      <w:r w:rsidR="002A0BC6" w:rsidRPr="00660A0E">
        <w:t xml:space="preserve"> Or </w:t>
      </w:r>
      <w:r w:rsidRPr="00660A0E">
        <w:t xml:space="preserve">an </w:t>
      </w:r>
      <w:r w:rsidR="002A0BC6" w:rsidRPr="00660A0E">
        <w:t xml:space="preserve">alternative assessment – oral </w:t>
      </w:r>
      <w:r w:rsidRPr="00660A0E">
        <w:t>for instance – do we know which alternative or adjustments to assessments are suitable for mathematical subjects?</w:t>
      </w:r>
    </w:p>
    <w:p w:rsidR="002A0BC6" w:rsidRPr="00660A0E" w:rsidRDefault="00884E0B" w:rsidP="00BB07EF">
      <w:pPr>
        <w:numPr>
          <w:ilvl w:val="0"/>
          <w:numId w:val="3"/>
        </w:numPr>
      </w:pPr>
      <w:r w:rsidRPr="00660A0E">
        <w:t>Ideas for how to approach studies might come from the department</w:t>
      </w:r>
      <w:r w:rsidR="007509D8" w:rsidRPr="00660A0E">
        <w:t xml:space="preserve"> but provision </w:t>
      </w:r>
      <w:r w:rsidR="000705CD" w:rsidRPr="00660A0E">
        <w:t xml:space="preserve">and training </w:t>
      </w:r>
      <w:r w:rsidR="007509D8" w:rsidRPr="00660A0E">
        <w:t>be via other professionals</w:t>
      </w:r>
      <w:r w:rsidRPr="00660A0E">
        <w:t>. E.g.</w:t>
      </w:r>
      <w:r w:rsidR="00F051C3" w:rsidRPr="00660A0E">
        <w:t xml:space="preserve"> Alongside other mentioned methods</w:t>
      </w:r>
      <w:r w:rsidRPr="00660A0E">
        <w:t xml:space="preserve"> a </w:t>
      </w:r>
      <w:r w:rsidR="002A0BC6" w:rsidRPr="00660A0E">
        <w:t xml:space="preserve">tablet PC </w:t>
      </w:r>
      <w:r w:rsidR="000705CD" w:rsidRPr="00660A0E">
        <w:t xml:space="preserve">could </w:t>
      </w:r>
      <w:r w:rsidRPr="00660A0E">
        <w:t xml:space="preserve">be used </w:t>
      </w:r>
      <w:r w:rsidR="002A0BC6" w:rsidRPr="00660A0E">
        <w:t xml:space="preserve">for handwriting – </w:t>
      </w:r>
      <w:r w:rsidRPr="00660A0E">
        <w:t xml:space="preserve">rather </w:t>
      </w:r>
      <w:r w:rsidR="002A0BC6" w:rsidRPr="00660A0E">
        <w:t xml:space="preserve">than typing – </w:t>
      </w:r>
      <w:r w:rsidRPr="00660A0E">
        <w:t xml:space="preserve">allowing Anna to </w:t>
      </w:r>
      <w:r w:rsidR="002A0BC6" w:rsidRPr="00660A0E">
        <w:t xml:space="preserve">edit and correct </w:t>
      </w:r>
      <w:r w:rsidRPr="00660A0E">
        <w:t>her handwritten work. This would remove</w:t>
      </w:r>
      <w:r w:rsidR="002A0BC6" w:rsidRPr="00660A0E">
        <w:t xml:space="preserve"> the </w:t>
      </w:r>
      <w:proofErr w:type="spellStart"/>
      <w:r w:rsidR="002A0BC6" w:rsidRPr="00660A0E">
        <w:t>LaTeX</w:t>
      </w:r>
      <w:proofErr w:type="spellEnd"/>
      <w:r w:rsidR="002A0BC6" w:rsidRPr="00660A0E">
        <w:t xml:space="preserve"> </w:t>
      </w:r>
      <w:r w:rsidRPr="00660A0E">
        <w:t xml:space="preserve">(or typing) </w:t>
      </w:r>
      <w:r w:rsidR="002A0BC6" w:rsidRPr="00660A0E">
        <w:t>barrier</w:t>
      </w:r>
      <w:r w:rsidRPr="00660A0E">
        <w:t xml:space="preserve"> </w:t>
      </w:r>
      <w:r w:rsidR="0088038D" w:rsidRPr="00660A0E">
        <w:t xml:space="preserve">when </w:t>
      </w:r>
      <w:r w:rsidRPr="00660A0E">
        <w:t>necessary</w:t>
      </w:r>
      <w:r w:rsidR="000705CD" w:rsidRPr="00660A0E">
        <w:t xml:space="preserve"> e.g. for rough work</w:t>
      </w:r>
      <w:r w:rsidR="002A0BC6" w:rsidRPr="00660A0E">
        <w:t xml:space="preserve">. </w:t>
      </w:r>
    </w:p>
    <w:p w:rsidR="002A0BC6" w:rsidRPr="00660A0E" w:rsidRDefault="00884E0B" w:rsidP="00BB07EF">
      <w:pPr>
        <w:numPr>
          <w:ilvl w:val="0"/>
          <w:numId w:val="3"/>
        </w:numPr>
      </w:pPr>
      <w:r w:rsidRPr="00660A0E">
        <w:t xml:space="preserve">The department would need to provide </w:t>
      </w:r>
      <w:r w:rsidR="00EF4AA0" w:rsidRPr="00660A0E">
        <w:t xml:space="preserve">(correct!) </w:t>
      </w:r>
      <w:r w:rsidRPr="00660A0E">
        <w:t>p</w:t>
      </w:r>
      <w:r w:rsidR="002A0BC6" w:rsidRPr="00660A0E">
        <w:t xml:space="preserve">rinted lecture notes from the academics in the first place. </w:t>
      </w:r>
      <w:r w:rsidR="003357E5" w:rsidRPr="00660A0E">
        <w:t>Do all departments hold such notes?</w:t>
      </w:r>
    </w:p>
    <w:p w:rsidR="002A0BC6" w:rsidRPr="00660A0E" w:rsidRDefault="00884E0B" w:rsidP="00BB07EF">
      <w:pPr>
        <w:numPr>
          <w:ilvl w:val="0"/>
          <w:numId w:val="3"/>
        </w:numPr>
      </w:pPr>
      <w:r w:rsidRPr="00660A0E">
        <w:t>The c</w:t>
      </w:r>
      <w:r w:rsidR="002A0BC6" w:rsidRPr="00660A0E">
        <w:t>ounselling service would need to be aware</w:t>
      </w:r>
      <w:r w:rsidRPr="00660A0E">
        <w:t xml:space="preserve"> of the impacts Anna’s </w:t>
      </w:r>
      <w:r w:rsidR="00A55457" w:rsidRPr="00660A0E">
        <w:t>difficulties had on her studies.</w:t>
      </w:r>
    </w:p>
    <w:p w:rsidR="002A0BC6" w:rsidRPr="00660A0E" w:rsidRDefault="00884E0B" w:rsidP="00884E0B">
      <w:pPr>
        <w:numPr>
          <w:ilvl w:val="0"/>
          <w:numId w:val="3"/>
        </w:numPr>
      </w:pPr>
      <w:r w:rsidRPr="00660A0E">
        <w:t>Considering the rewriting question: Perhaps l</w:t>
      </w:r>
      <w:r w:rsidR="002A0BC6" w:rsidRPr="00660A0E">
        <w:t xml:space="preserve">ecturers </w:t>
      </w:r>
      <w:r w:rsidRPr="00660A0E">
        <w:t xml:space="preserve">would need </w:t>
      </w:r>
      <w:r w:rsidR="002A0BC6" w:rsidRPr="00660A0E">
        <w:t xml:space="preserve">to not mark as harshly for subtle mistakes but </w:t>
      </w:r>
      <w:r w:rsidRPr="00660A0E">
        <w:t xml:space="preserve">most institutions have </w:t>
      </w:r>
      <w:r w:rsidR="002A0BC6" w:rsidRPr="00660A0E">
        <w:t>anonymous marking policies.</w:t>
      </w:r>
      <w:r w:rsidRPr="00660A0E">
        <w:t xml:space="preserve"> Some noted that dyslexic students place a sticker on their work but would a lecturer know what mistakes to ignore? Is this clear in mathematics?</w:t>
      </w:r>
      <w:r w:rsidR="002A0BC6" w:rsidRPr="00660A0E">
        <w:t xml:space="preserve"> </w:t>
      </w:r>
    </w:p>
    <w:p w:rsidR="00BB07EF" w:rsidRPr="00660A0E" w:rsidRDefault="007E0821" w:rsidP="00BB07EF">
      <w:r w:rsidRPr="00660A0E">
        <w:t>The group then noted that a key area of concern was the timescale in which such collaboration</w:t>
      </w:r>
      <w:r w:rsidR="00884E0B" w:rsidRPr="00660A0E">
        <w:t>s</w:t>
      </w:r>
      <w:r w:rsidRPr="00660A0E">
        <w:t xml:space="preserve"> would need to be planned and the difficulties of being proactive:</w:t>
      </w:r>
    </w:p>
    <w:p w:rsidR="00163096" w:rsidRPr="00660A0E" w:rsidRDefault="007935D2" w:rsidP="00C93126">
      <w:pPr>
        <w:numPr>
          <w:ilvl w:val="0"/>
          <w:numId w:val="3"/>
        </w:numPr>
      </w:pPr>
      <w:r w:rsidRPr="00660A0E">
        <w:t>One attendee noted</w:t>
      </w:r>
      <w:r w:rsidR="00163096" w:rsidRPr="00660A0E">
        <w:t xml:space="preserve"> that in their </w:t>
      </w:r>
      <w:r w:rsidR="002A0BC6" w:rsidRPr="00660A0E">
        <w:t xml:space="preserve">institution </w:t>
      </w:r>
      <w:r w:rsidR="00163096" w:rsidRPr="00660A0E">
        <w:t xml:space="preserve">they found </w:t>
      </w:r>
      <w:r w:rsidR="002A0BC6" w:rsidRPr="00660A0E">
        <w:t xml:space="preserve">out </w:t>
      </w:r>
      <w:r w:rsidR="00163096" w:rsidRPr="00660A0E">
        <w:t xml:space="preserve">that a </w:t>
      </w:r>
      <w:r w:rsidR="002A0BC6" w:rsidRPr="00660A0E">
        <w:t xml:space="preserve">blind student </w:t>
      </w:r>
      <w:r w:rsidR="00163096" w:rsidRPr="00660A0E">
        <w:t xml:space="preserve">was </w:t>
      </w:r>
      <w:r w:rsidR="002A0BC6" w:rsidRPr="00660A0E">
        <w:t xml:space="preserve">coming about a week before </w:t>
      </w:r>
      <w:r w:rsidR="00163096" w:rsidRPr="00660A0E">
        <w:t xml:space="preserve">arrival </w:t>
      </w:r>
      <w:r w:rsidR="002A0BC6" w:rsidRPr="00660A0E">
        <w:t xml:space="preserve">and </w:t>
      </w:r>
      <w:r w:rsidR="00163096" w:rsidRPr="00660A0E">
        <w:t xml:space="preserve">that </w:t>
      </w:r>
      <w:r w:rsidR="002A0BC6" w:rsidRPr="00660A0E">
        <w:t xml:space="preserve">there </w:t>
      </w:r>
      <w:r w:rsidR="00163096" w:rsidRPr="00660A0E">
        <w:t xml:space="preserve">was </w:t>
      </w:r>
      <w:r w:rsidR="002A0BC6" w:rsidRPr="00660A0E">
        <w:t>no time</w:t>
      </w:r>
      <w:r w:rsidR="00163096" w:rsidRPr="00660A0E">
        <w:t xml:space="preserve"> to work together to make complex reactive adjustments. </w:t>
      </w:r>
    </w:p>
    <w:p w:rsidR="002A0BC6" w:rsidRPr="00660A0E" w:rsidRDefault="00163096" w:rsidP="00C93126">
      <w:pPr>
        <w:numPr>
          <w:ilvl w:val="0"/>
          <w:numId w:val="3"/>
        </w:numPr>
      </w:pPr>
      <w:r w:rsidRPr="00660A0E">
        <w:lastRenderedPageBreak/>
        <w:t xml:space="preserve">It was highlighted that there is a </w:t>
      </w:r>
      <w:r w:rsidR="002A0BC6" w:rsidRPr="00660A0E">
        <w:t xml:space="preserve">need </w:t>
      </w:r>
      <w:r w:rsidRPr="00660A0E">
        <w:t xml:space="preserve">for </w:t>
      </w:r>
      <w:r w:rsidR="002A0BC6" w:rsidRPr="00660A0E">
        <w:t xml:space="preserve">recognition </w:t>
      </w:r>
      <w:r w:rsidRPr="00660A0E">
        <w:t xml:space="preserve">of </w:t>
      </w:r>
      <w:r w:rsidR="002A0BC6" w:rsidRPr="00660A0E">
        <w:t xml:space="preserve">anticipatory effort </w:t>
      </w:r>
      <w:r w:rsidRPr="00660A0E">
        <w:t>(</w:t>
      </w:r>
      <w:r w:rsidR="002F50C3" w:rsidRPr="00660A0E">
        <w:t xml:space="preserve">particularly </w:t>
      </w:r>
      <w:r w:rsidRPr="00660A0E">
        <w:t xml:space="preserve">where time and other costs </w:t>
      </w:r>
      <w:r w:rsidR="002F50C3" w:rsidRPr="00660A0E">
        <w:t xml:space="preserve">might be higher </w:t>
      </w:r>
      <w:r w:rsidRPr="00660A0E">
        <w:t xml:space="preserve">such as in mathematics </w:t>
      </w:r>
      <w:r w:rsidR="002F50C3" w:rsidRPr="00660A0E">
        <w:t xml:space="preserve">and </w:t>
      </w:r>
      <w:r w:rsidRPr="00660A0E">
        <w:t>where it may be more difficult to be proact</w:t>
      </w:r>
      <w:r w:rsidR="002F50C3" w:rsidRPr="00660A0E">
        <w:t>ive). Adjustments in mathematical subjects</w:t>
      </w:r>
      <w:r w:rsidRPr="00660A0E">
        <w:t xml:space="preserve"> are being dealt with on a case by case basis.</w:t>
      </w:r>
      <w:r w:rsidR="002A0BC6" w:rsidRPr="00660A0E">
        <w:t xml:space="preserve"> </w:t>
      </w:r>
      <w:r w:rsidRPr="00660A0E">
        <w:t>The system puts staff under pressure –</w:t>
      </w:r>
      <w:r w:rsidR="002A0BC6" w:rsidRPr="00660A0E">
        <w:t xml:space="preserve"> some</w:t>
      </w:r>
      <w:r w:rsidRPr="00660A0E">
        <w:t>times</w:t>
      </w:r>
      <w:r w:rsidR="002A0BC6" w:rsidRPr="00660A0E">
        <w:t xml:space="preserve"> nothing is done until </w:t>
      </w:r>
      <w:r w:rsidR="00660A0E">
        <w:t xml:space="preserve">the </w:t>
      </w:r>
      <w:r w:rsidR="002A0BC6" w:rsidRPr="00660A0E">
        <w:t xml:space="preserve">student arrives. </w:t>
      </w:r>
      <w:r w:rsidRPr="00660A0E">
        <w:t>It was suggested that the l</w:t>
      </w:r>
      <w:r w:rsidR="002A0BC6" w:rsidRPr="00660A0E">
        <w:t xml:space="preserve">egal requirement </w:t>
      </w:r>
      <w:r w:rsidRPr="00660A0E">
        <w:t xml:space="preserve">should </w:t>
      </w:r>
      <w:r w:rsidR="002A0BC6" w:rsidRPr="00660A0E">
        <w:t xml:space="preserve">be used by staff to </w:t>
      </w:r>
      <w:r w:rsidRPr="00660A0E">
        <w:t xml:space="preserve">request </w:t>
      </w:r>
      <w:r w:rsidR="002A0BC6" w:rsidRPr="00660A0E">
        <w:t xml:space="preserve">more time in order to </w:t>
      </w:r>
      <w:r w:rsidRPr="00660A0E">
        <w:t>plan and make complex proactive adjustments rather than the legal requirement being used to threaten staff</w:t>
      </w:r>
      <w:r w:rsidR="002A0BC6" w:rsidRPr="00660A0E">
        <w:t xml:space="preserve">. </w:t>
      </w:r>
    </w:p>
    <w:p w:rsidR="002A0BC6" w:rsidRPr="00660A0E" w:rsidRDefault="002A0BC6" w:rsidP="00C93126">
      <w:pPr>
        <w:numPr>
          <w:ilvl w:val="0"/>
          <w:numId w:val="3"/>
        </w:numPr>
      </w:pPr>
      <w:r w:rsidRPr="00660A0E">
        <w:t xml:space="preserve">Other universities learn about the students who have applied earlier </w:t>
      </w:r>
      <w:r w:rsidR="00163096" w:rsidRPr="00660A0E">
        <w:t xml:space="preserve">in the process </w:t>
      </w:r>
      <w:r w:rsidRPr="00660A0E">
        <w:t>– but</w:t>
      </w:r>
      <w:r w:rsidR="00163096" w:rsidRPr="00660A0E">
        <w:t xml:space="preserve"> this does not assist in cases where a student places the institution as their insurance offer.</w:t>
      </w:r>
      <w:r w:rsidRPr="00660A0E">
        <w:t xml:space="preserve"> </w:t>
      </w:r>
      <w:r w:rsidR="00660A0E">
        <w:t>I</w:t>
      </w:r>
      <w:r w:rsidR="006A3A2A" w:rsidRPr="00660A0E">
        <w:t xml:space="preserve">n </w:t>
      </w:r>
      <w:r w:rsidR="00163096" w:rsidRPr="00660A0E">
        <w:t>the case of international students the information can be provided very late in the process.</w:t>
      </w:r>
    </w:p>
    <w:p w:rsidR="002A0BC6" w:rsidRPr="00660A0E" w:rsidRDefault="004E6307" w:rsidP="004E6307">
      <w:r w:rsidRPr="00660A0E">
        <w:t>Finally, it was highlighted t</w:t>
      </w:r>
      <w:r w:rsidR="002A0BC6" w:rsidRPr="00660A0E">
        <w:t>hat g</w:t>
      </w:r>
      <w:r w:rsidRPr="00660A0E">
        <w:t xml:space="preserve">ood practice should be shared. Institutions should </w:t>
      </w:r>
      <w:r w:rsidR="002A0BC6" w:rsidRPr="00660A0E">
        <w:t xml:space="preserve">know that advice </w:t>
      </w:r>
      <w:r w:rsidRPr="00660A0E">
        <w:t xml:space="preserve">on access to mathematical studies is available and should share this with </w:t>
      </w:r>
      <w:r w:rsidR="002B7767" w:rsidRPr="00660A0E">
        <w:t>the student</w:t>
      </w:r>
      <w:r w:rsidRPr="00660A0E">
        <w:t xml:space="preserve"> and </w:t>
      </w:r>
      <w:r w:rsidR="00C55BA6" w:rsidRPr="00660A0E">
        <w:t xml:space="preserve">staff </w:t>
      </w:r>
      <w:r w:rsidR="00660A0E">
        <w:t xml:space="preserve">at another institution </w:t>
      </w:r>
      <w:r w:rsidR="002A0BC6" w:rsidRPr="00660A0E">
        <w:t xml:space="preserve">if </w:t>
      </w:r>
      <w:r w:rsidRPr="00660A0E">
        <w:t xml:space="preserve">the student ultimately </w:t>
      </w:r>
      <w:r w:rsidR="00660A0E">
        <w:t>goes elsewhere</w:t>
      </w:r>
      <w:r w:rsidRPr="00660A0E">
        <w:t>. However, it was noted that g</w:t>
      </w:r>
      <w:r w:rsidR="002A0BC6" w:rsidRPr="00660A0E">
        <w:t xml:space="preserve">ood advice is shared </w:t>
      </w:r>
      <w:r w:rsidRPr="00660A0E">
        <w:t xml:space="preserve">only </w:t>
      </w:r>
      <w:r w:rsidR="002A0BC6" w:rsidRPr="00660A0E">
        <w:t>if</w:t>
      </w:r>
      <w:r w:rsidRPr="00660A0E">
        <w:t xml:space="preserve"> this sharing is prompted or rewarded and staff are not rewarded as they are for other work e.g. through</w:t>
      </w:r>
      <w:r w:rsidR="005A4BF9" w:rsidRPr="00660A0E">
        <w:t xml:space="preserve"> publications and REF</w:t>
      </w:r>
      <w:r w:rsidR="002A0BC6" w:rsidRPr="00660A0E">
        <w:t xml:space="preserve"> points. </w:t>
      </w:r>
    </w:p>
    <w:p w:rsidR="002A0BC6" w:rsidRPr="00660A0E" w:rsidRDefault="00CE1606" w:rsidP="008C4BDB">
      <w:pPr>
        <w:pStyle w:val="Heading2"/>
      </w:pPr>
      <w:r w:rsidRPr="00660A0E">
        <w:t>Group 2</w:t>
      </w:r>
    </w:p>
    <w:p w:rsidR="007E0821" w:rsidRPr="00966B45" w:rsidRDefault="007E0821" w:rsidP="007E0821">
      <w:r w:rsidRPr="00966B45">
        <w:t>This group considered facets of all scenarios rather than focussing on any specific one. They summarised what they felt was required:</w:t>
      </w:r>
    </w:p>
    <w:p w:rsidR="002A0BC6" w:rsidRPr="00966B45" w:rsidRDefault="00DC2BD0" w:rsidP="00C93126">
      <w:pPr>
        <w:numPr>
          <w:ilvl w:val="0"/>
          <w:numId w:val="4"/>
        </w:numPr>
      </w:pPr>
      <w:r w:rsidRPr="00966B45">
        <w:t>There is a need for all to understand</w:t>
      </w:r>
      <w:r w:rsidR="002A0BC6" w:rsidRPr="00966B45">
        <w:t xml:space="preserve"> what </w:t>
      </w:r>
      <w:r w:rsidRPr="00966B45">
        <w:t xml:space="preserve">products and pedagogic tools are </w:t>
      </w:r>
      <w:r w:rsidR="002A0BC6" w:rsidRPr="00966B45">
        <w:t xml:space="preserve">available </w:t>
      </w:r>
      <w:r w:rsidRPr="00966B45">
        <w:t xml:space="preserve">for mathematical study </w:t>
      </w:r>
      <w:r w:rsidR="002A0BC6" w:rsidRPr="00966B45">
        <w:t xml:space="preserve">and </w:t>
      </w:r>
      <w:r w:rsidRPr="00966B45">
        <w:t xml:space="preserve">the </w:t>
      </w:r>
      <w:r w:rsidR="002A0BC6" w:rsidRPr="00966B45">
        <w:t xml:space="preserve">features </w:t>
      </w:r>
      <w:r w:rsidRPr="00966B45">
        <w:t xml:space="preserve">of these. The community needs to </w:t>
      </w:r>
      <w:r w:rsidR="002A0BC6" w:rsidRPr="00966B45">
        <w:t xml:space="preserve">keep </w:t>
      </w:r>
      <w:r w:rsidRPr="00966B45">
        <w:t>this information up to date</w:t>
      </w:r>
      <w:r w:rsidR="002A0BC6" w:rsidRPr="00966B45">
        <w:t>.</w:t>
      </w:r>
    </w:p>
    <w:p w:rsidR="002A0BC6" w:rsidRPr="00966B45" w:rsidRDefault="00C3667E" w:rsidP="00C93126">
      <w:pPr>
        <w:numPr>
          <w:ilvl w:val="0"/>
          <w:numId w:val="4"/>
        </w:numPr>
      </w:pPr>
      <w:r w:rsidRPr="00966B45">
        <w:t>Collaboration between roles is required as working with each student with a disability impacts a number of different roles and they all need to understand how to operate with that student. This means an u</w:t>
      </w:r>
      <w:r w:rsidR="002A0BC6" w:rsidRPr="00966B45">
        <w:t xml:space="preserve">nderstanding </w:t>
      </w:r>
      <w:r w:rsidRPr="00966B45">
        <w:t xml:space="preserve">of </w:t>
      </w:r>
      <w:r w:rsidR="002A0BC6" w:rsidRPr="00966B45">
        <w:t>the disability itself</w:t>
      </w:r>
      <w:r w:rsidRPr="00966B45">
        <w:t xml:space="preserve"> and the impacts on mathematical studies</w:t>
      </w:r>
      <w:r w:rsidR="002A0BC6" w:rsidRPr="00966B45">
        <w:t>.</w:t>
      </w:r>
      <w:r w:rsidRPr="00966B45">
        <w:t xml:space="preserve"> For example,</w:t>
      </w:r>
      <w:r w:rsidR="002A0BC6" w:rsidRPr="00966B45">
        <w:t xml:space="preserve"> the personal tutor needs to understand how that disability works in practice. </w:t>
      </w:r>
      <w:r w:rsidRPr="00966B45">
        <w:t xml:space="preserve">Take </w:t>
      </w:r>
      <w:r w:rsidR="002A0BC6" w:rsidRPr="00966B45">
        <w:t xml:space="preserve">Anna </w:t>
      </w:r>
      <w:r w:rsidRPr="00966B45">
        <w:t xml:space="preserve">for example </w:t>
      </w:r>
      <w:r w:rsidR="002A0BC6" w:rsidRPr="00966B45">
        <w:t>– no personal tutor would understand that disability unless a professional had taken the time to explain it</w:t>
      </w:r>
      <w:r w:rsidRPr="00966B45">
        <w:t xml:space="preserve"> and the impact it had on her mathematical study</w:t>
      </w:r>
      <w:r w:rsidR="002A0BC6" w:rsidRPr="00966B45">
        <w:t xml:space="preserve">. Tutors </w:t>
      </w:r>
      <w:r w:rsidRPr="00966B45">
        <w:t>need continuing professional development as well as</w:t>
      </w:r>
      <w:r w:rsidR="002A0BC6" w:rsidRPr="00966B45">
        <w:t xml:space="preserve"> sharing </w:t>
      </w:r>
      <w:r w:rsidRPr="00966B45">
        <w:t xml:space="preserve">of </w:t>
      </w:r>
      <w:r w:rsidR="002A0BC6" w:rsidRPr="00966B45">
        <w:t xml:space="preserve">case studies and software </w:t>
      </w:r>
      <w:r w:rsidRPr="00966B45">
        <w:t xml:space="preserve">information </w:t>
      </w:r>
      <w:r w:rsidR="002A0BC6" w:rsidRPr="00966B45">
        <w:t xml:space="preserve">etc. </w:t>
      </w:r>
      <w:r w:rsidRPr="00966B45">
        <w:t xml:space="preserve">Different </w:t>
      </w:r>
      <w:r w:rsidR="002A0BC6" w:rsidRPr="00966B45">
        <w:t xml:space="preserve">roles of staff </w:t>
      </w:r>
      <w:r w:rsidRPr="00966B45">
        <w:t>should get to meet and discuss</w:t>
      </w:r>
      <w:r w:rsidR="002A0BC6" w:rsidRPr="00966B45">
        <w:t xml:space="preserve">. </w:t>
      </w:r>
    </w:p>
    <w:p w:rsidR="002A0BC6" w:rsidRPr="00966B45" w:rsidRDefault="00E90FC7" w:rsidP="00E90FC7">
      <w:pPr>
        <w:pStyle w:val="ListParagraph"/>
        <w:numPr>
          <w:ilvl w:val="0"/>
          <w:numId w:val="4"/>
        </w:numPr>
      </w:pPr>
      <w:r w:rsidRPr="00966B45">
        <w:t>There should be p</w:t>
      </w:r>
      <w:r w:rsidR="00150172" w:rsidRPr="00966B45">
        <w:t xml:space="preserve">rofessional recognition </w:t>
      </w:r>
      <w:r w:rsidR="002A0BC6" w:rsidRPr="00966B45">
        <w:t xml:space="preserve">of </w:t>
      </w:r>
      <w:r w:rsidR="00150172" w:rsidRPr="00966B45">
        <w:t xml:space="preserve">work on </w:t>
      </w:r>
      <w:r w:rsidR="002A0BC6" w:rsidRPr="00966B45">
        <w:t xml:space="preserve">accessibility approaches </w:t>
      </w:r>
      <w:r w:rsidR="00D57A7E" w:rsidRPr="00966B45">
        <w:t xml:space="preserve">in this area </w:t>
      </w:r>
      <w:r w:rsidR="00150172" w:rsidRPr="00966B45">
        <w:t xml:space="preserve">built </w:t>
      </w:r>
      <w:r w:rsidR="002A0BC6" w:rsidRPr="00966B45">
        <w:t xml:space="preserve">in </w:t>
      </w:r>
      <w:r w:rsidR="00150172" w:rsidRPr="00966B45">
        <w:t xml:space="preserve">to </w:t>
      </w:r>
      <w:r w:rsidR="002A0BC6" w:rsidRPr="00966B45">
        <w:t>general prof</w:t>
      </w:r>
      <w:r w:rsidR="00150172" w:rsidRPr="00966B45">
        <w:t>essional</w:t>
      </w:r>
      <w:r w:rsidR="002A0BC6" w:rsidRPr="00966B45">
        <w:t xml:space="preserve"> recognition – so that these </w:t>
      </w:r>
      <w:r w:rsidR="00150172" w:rsidRPr="00966B45">
        <w:t>areas do not</w:t>
      </w:r>
      <w:r w:rsidR="002A0BC6" w:rsidRPr="00966B45">
        <w:t xml:space="preserve"> get buried and dealt with on </w:t>
      </w:r>
      <w:r w:rsidR="00966B45">
        <w:t xml:space="preserve">a </w:t>
      </w:r>
      <w:r w:rsidR="002A0BC6" w:rsidRPr="00966B45">
        <w:t>case by case basis</w:t>
      </w:r>
      <w:r w:rsidR="00150172" w:rsidRPr="00966B45">
        <w:t>.</w:t>
      </w:r>
    </w:p>
    <w:p w:rsidR="002A0BC6" w:rsidRPr="00966B45" w:rsidRDefault="00D57A7E" w:rsidP="00D57A7E">
      <w:pPr>
        <w:numPr>
          <w:ilvl w:val="0"/>
          <w:numId w:val="4"/>
        </w:numPr>
      </w:pPr>
      <w:r w:rsidRPr="00966B45">
        <w:lastRenderedPageBreak/>
        <w:t>Students and parents should be empowered by being provided with an</w:t>
      </w:r>
      <w:r w:rsidR="002A0BC6" w:rsidRPr="00966B45">
        <w:t xml:space="preserve"> understanding the legal duties </w:t>
      </w:r>
      <w:r w:rsidRPr="00966B45">
        <w:t xml:space="preserve">of institutions, </w:t>
      </w:r>
      <w:r w:rsidR="002A0BC6" w:rsidRPr="00966B45">
        <w:t xml:space="preserve">their own responsibilities </w:t>
      </w:r>
      <w:r w:rsidRPr="00966B45">
        <w:t xml:space="preserve">and an understanding of what </w:t>
      </w:r>
      <w:r w:rsidRPr="00966B45">
        <w:rPr>
          <w:b/>
        </w:rPr>
        <w:t>can</w:t>
      </w:r>
      <w:r w:rsidRPr="00966B45">
        <w:t xml:space="preserve"> be provided.</w:t>
      </w:r>
    </w:p>
    <w:p w:rsidR="002A0BC6" w:rsidRPr="00966B45" w:rsidRDefault="00B15396" w:rsidP="00C93126">
      <w:pPr>
        <w:numPr>
          <w:ilvl w:val="0"/>
          <w:numId w:val="4"/>
        </w:numPr>
      </w:pPr>
      <w:r w:rsidRPr="00966B45">
        <w:t>G</w:t>
      </w:r>
      <w:r w:rsidR="002A0BC6" w:rsidRPr="00966B45">
        <w:t xml:space="preserve">ood </w:t>
      </w:r>
      <w:r w:rsidRPr="00966B45">
        <w:t xml:space="preserve">practice </w:t>
      </w:r>
      <w:r w:rsidR="002A0BC6" w:rsidRPr="00966B45">
        <w:t>case studies</w:t>
      </w:r>
      <w:r w:rsidRPr="00966B45">
        <w:t xml:space="preserve"> need to be shared</w:t>
      </w:r>
      <w:r w:rsidR="00B625A5" w:rsidRPr="00966B45">
        <w:t xml:space="preserve"> but within a wider framework</w:t>
      </w:r>
      <w:r w:rsidR="002A0BC6" w:rsidRPr="00966B45">
        <w:t xml:space="preserve">. </w:t>
      </w:r>
    </w:p>
    <w:p w:rsidR="002A0BC6" w:rsidRPr="00966B45" w:rsidRDefault="00B625A5" w:rsidP="00B625A5">
      <w:pPr>
        <w:pStyle w:val="ListParagraph"/>
        <w:numPr>
          <w:ilvl w:val="1"/>
          <w:numId w:val="4"/>
        </w:numPr>
      </w:pPr>
      <w:r w:rsidRPr="00966B45">
        <w:t xml:space="preserve">A representative of JISC </w:t>
      </w:r>
      <w:proofErr w:type="spellStart"/>
      <w:r w:rsidRPr="00966B45">
        <w:t>TechDis</w:t>
      </w:r>
      <w:proofErr w:type="spellEnd"/>
      <w:r w:rsidRPr="00966B45">
        <w:t xml:space="preserve"> noted that they share resources but have no method of measuring impact.</w:t>
      </w:r>
      <w:r w:rsidR="002A0BC6" w:rsidRPr="00966B45">
        <w:t xml:space="preserve"> </w:t>
      </w:r>
      <w:r w:rsidRPr="00966B45">
        <w:t xml:space="preserve">If </w:t>
      </w:r>
      <w:r w:rsidR="002A0BC6" w:rsidRPr="00966B45">
        <w:t xml:space="preserve">someone finds </w:t>
      </w:r>
      <w:r w:rsidRPr="00966B45">
        <w:t xml:space="preserve">a resource </w:t>
      </w:r>
      <w:r w:rsidR="002A0BC6" w:rsidRPr="00966B45">
        <w:t xml:space="preserve">useful </w:t>
      </w:r>
      <w:r w:rsidRPr="00966B45">
        <w:t>this is not known</w:t>
      </w:r>
      <w:r w:rsidR="00DA73CE" w:rsidRPr="00966B45">
        <w:t>,</w:t>
      </w:r>
      <w:r w:rsidRPr="00966B45">
        <w:t xml:space="preserve"> </w:t>
      </w:r>
      <w:r w:rsidR="002A0BC6" w:rsidRPr="00966B45">
        <w:t xml:space="preserve">no evidence </w:t>
      </w:r>
      <w:r w:rsidRPr="00966B45">
        <w:t xml:space="preserve">base is produced for how useful a resource is or for where further funding is needed. An </w:t>
      </w:r>
      <w:r w:rsidR="002A0BC6" w:rsidRPr="00966B45">
        <w:t>impact metric</w:t>
      </w:r>
      <w:r w:rsidRPr="00966B45">
        <w:t xml:space="preserve"> is required.</w:t>
      </w:r>
    </w:p>
    <w:p w:rsidR="002A0BC6" w:rsidRPr="00966B45" w:rsidRDefault="00912AB8" w:rsidP="00C93126">
      <w:pPr>
        <w:pStyle w:val="ListParagraph"/>
        <w:numPr>
          <w:ilvl w:val="1"/>
          <w:numId w:val="4"/>
        </w:numPr>
      </w:pPr>
      <w:r w:rsidRPr="00966B45">
        <w:t>It was thought that competition within HE does not</w:t>
      </w:r>
      <w:r w:rsidR="002A0BC6" w:rsidRPr="00966B45">
        <w:t xml:space="preserve"> necessarily serve students well as it </w:t>
      </w:r>
      <w:r w:rsidRPr="00966B45">
        <w:t xml:space="preserve">does not </w:t>
      </w:r>
      <w:r w:rsidR="002A0BC6" w:rsidRPr="00966B45">
        <w:t>encourage sharing practice.</w:t>
      </w:r>
      <w:r w:rsidRPr="00966B45">
        <w:t xml:space="preserve"> However, the representative of JISC </w:t>
      </w:r>
      <w:proofErr w:type="spellStart"/>
      <w:r w:rsidRPr="00966B45">
        <w:t>TechDis</w:t>
      </w:r>
      <w:proofErr w:type="spellEnd"/>
      <w:r w:rsidRPr="00966B45">
        <w:t xml:space="preserve"> also noted that competition could be used in a positive manner:</w:t>
      </w:r>
    </w:p>
    <w:p w:rsidR="002A0BC6" w:rsidRPr="00966B45" w:rsidRDefault="00912AB8" w:rsidP="00912AB8">
      <w:pPr>
        <w:pStyle w:val="ListParagraph"/>
        <w:numPr>
          <w:ilvl w:val="2"/>
          <w:numId w:val="4"/>
        </w:numPr>
      </w:pPr>
      <w:r w:rsidRPr="00966B45">
        <w:t xml:space="preserve">If external </w:t>
      </w:r>
      <w:r w:rsidR="002A0BC6" w:rsidRPr="00966B45">
        <w:t xml:space="preserve">organisations recognise </w:t>
      </w:r>
      <w:r w:rsidRPr="00966B45">
        <w:t xml:space="preserve">and reward </w:t>
      </w:r>
      <w:r w:rsidR="002A0BC6" w:rsidRPr="00966B45">
        <w:t xml:space="preserve">successful practice </w:t>
      </w:r>
      <w:r w:rsidRPr="00966B45">
        <w:t xml:space="preserve">they can </w:t>
      </w:r>
      <w:r w:rsidR="002A0BC6" w:rsidRPr="00966B45">
        <w:t xml:space="preserve">create </w:t>
      </w:r>
      <w:r w:rsidRPr="00966B45">
        <w:t>positive competition. This highlights</w:t>
      </w:r>
      <w:r w:rsidR="002A0BC6" w:rsidRPr="00966B45">
        <w:t xml:space="preserve"> successful pra</w:t>
      </w:r>
      <w:r w:rsidRPr="00966B45">
        <w:t xml:space="preserve">ctice so others can follow it and </w:t>
      </w:r>
      <w:r w:rsidR="002A0BC6" w:rsidRPr="00966B45">
        <w:t>comp</w:t>
      </w:r>
      <w:r w:rsidRPr="00966B45">
        <w:t>etition is</w:t>
      </w:r>
      <w:r w:rsidR="002A0BC6" w:rsidRPr="00966B45">
        <w:t xml:space="preserve"> used </w:t>
      </w:r>
      <w:r w:rsidRPr="00966B45">
        <w:t>as motivation to share</w:t>
      </w:r>
      <w:r w:rsidR="002A0BC6" w:rsidRPr="00966B45">
        <w:t xml:space="preserve"> what </w:t>
      </w:r>
      <w:r w:rsidRPr="00966B45">
        <w:t>an institution is doing well</w:t>
      </w:r>
    </w:p>
    <w:p w:rsidR="00912AB8" w:rsidRPr="00966B45" w:rsidRDefault="00912AB8" w:rsidP="001D748B">
      <w:pPr>
        <w:pStyle w:val="ListParagraph"/>
        <w:numPr>
          <w:ilvl w:val="2"/>
          <w:numId w:val="4"/>
        </w:numPr>
      </w:pPr>
      <w:r w:rsidRPr="00966B45">
        <w:t xml:space="preserve">An example of this is the </w:t>
      </w:r>
      <w:r w:rsidR="001D748B" w:rsidRPr="00966B45">
        <w:t xml:space="preserve">Oases Award given by JISC </w:t>
      </w:r>
      <w:proofErr w:type="spellStart"/>
      <w:r w:rsidR="001D748B" w:rsidRPr="00966B45">
        <w:t>TechDis</w:t>
      </w:r>
      <w:proofErr w:type="spellEnd"/>
      <w:r w:rsidR="001D748B" w:rsidRPr="00966B45">
        <w:t>. This is an institutional award for “Progress on Equality using Technology”</w:t>
      </w:r>
      <w:r w:rsidR="00230D14" w:rsidRPr="00966B45">
        <w:rPr>
          <w:rStyle w:val="FootnoteReference"/>
        </w:rPr>
        <w:footnoteReference w:id="1"/>
      </w:r>
      <w:r w:rsidR="001D748B" w:rsidRPr="00966B45">
        <w:t xml:space="preserve"> </w:t>
      </w:r>
    </w:p>
    <w:p w:rsidR="002A0BC6" w:rsidRPr="00966B45" w:rsidRDefault="002D070B" w:rsidP="00A70C07">
      <w:pPr>
        <w:numPr>
          <w:ilvl w:val="0"/>
          <w:numId w:val="4"/>
        </w:numPr>
      </w:pPr>
      <w:r w:rsidRPr="00966B45">
        <w:t xml:space="preserve">There is a need to consider whose responsibility it is to train students to use assistive technology (AT Training). In the Disabled Students’ Allowance (DSA) </w:t>
      </w:r>
      <w:r w:rsidR="00194155" w:rsidRPr="00966B45">
        <w:t xml:space="preserve">model </w:t>
      </w:r>
      <w:r w:rsidRPr="00966B45">
        <w:t xml:space="preserve">it is difficult to provide on-going support and the </w:t>
      </w:r>
      <w:r w:rsidR="002A0BC6" w:rsidRPr="00966B45">
        <w:t xml:space="preserve">AT training </w:t>
      </w:r>
      <w:r w:rsidRPr="00966B45">
        <w:t xml:space="preserve">professionals may not know less </w:t>
      </w:r>
      <w:r w:rsidR="00966B45">
        <w:t>mainstream or subject specialist</w:t>
      </w:r>
      <w:r w:rsidRPr="00966B45">
        <w:t xml:space="preserve"> assistive technology. </w:t>
      </w:r>
      <w:r w:rsidR="002A0BC6" w:rsidRPr="00966B45">
        <w:t xml:space="preserve">So whose role is this? </w:t>
      </w:r>
      <w:r w:rsidR="00A70C07" w:rsidRPr="00966B45">
        <w:t>For instance, h</w:t>
      </w:r>
      <w:r w:rsidR="002A0BC6" w:rsidRPr="00966B45">
        <w:t xml:space="preserve">ow would we train </w:t>
      </w:r>
      <w:r w:rsidR="00A70C07" w:rsidRPr="00966B45">
        <w:t xml:space="preserve">and support </w:t>
      </w:r>
      <w:r w:rsidR="002A0BC6" w:rsidRPr="00966B45">
        <w:t xml:space="preserve">a blind student to use </w:t>
      </w:r>
      <w:r w:rsidR="00A70C07" w:rsidRPr="00966B45">
        <w:t xml:space="preserve">some of the demonstrated software? Some of which are </w:t>
      </w:r>
      <w:r w:rsidR="00690B30" w:rsidRPr="00966B45">
        <w:t>not commercial</w:t>
      </w:r>
      <w:r w:rsidR="002A0BC6" w:rsidRPr="00966B45">
        <w:t xml:space="preserve"> product</w:t>
      </w:r>
      <w:r w:rsidR="00A70C07" w:rsidRPr="00966B45">
        <w:t>s and may not be robust</w:t>
      </w:r>
      <w:r w:rsidR="002A0BC6" w:rsidRPr="00966B45">
        <w:t xml:space="preserve">. </w:t>
      </w:r>
    </w:p>
    <w:p w:rsidR="002A0BC6" w:rsidRPr="00966B45" w:rsidRDefault="00CE1606" w:rsidP="008C4BDB">
      <w:pPr>
        <w:pStyle w:val="Heading2"/>
      </w:pPr>
      <w:r w:rsidRPr="00966B45">
        <w:t>Group 3</w:t>
      </w:r>
    </w:p>
    <w:p w:rsidR="00873B08" w:rsidRPr="00966B45" w:rsidRDefault="00873B08" w:rsidP="00873B08">
      <w:r w:rsidRPr="00966B45">
        <w:t>This group started out by considering ‘Andrew’ but they noted their discussions were “really about how we get all the different people involved”:</w:t>
      </w:r>
    </w:p>
    <w:p w:rsidR="002A0BC6" w:rsidRPr="0084761E" w:rsidRDefault="009E4BEB" w:rsidP="00D56552">
      <w:pPr>
        <w:numPr>
          <w:ilvl w:val="0"/>
          <w:numId w:val="5"/>
        </w:numPr>
      </w:pPr>
      <w:r w:rsidRPr="00966B45">
        <w:t xml:space="preserve">There was a focus on </w:t>
      </w:r>
      <w:r w:rsidR="002A0BC6" w:rsidRPr="00966B45">
        <w:t xml:space="preserve">the difficulties </w:t>
      </w:r>
      <w:r w:rsidRPr="00966B45">
        <w:t xml:space="preserve">support departments </w:t>
      </w:r>
      <w:r w:rsidR="002A0BC6" w:rsidRPr="00966B45">
        <w:t>have with engaging</w:t>
      </w:r>
      <w:r w:rsidRPr="00966B45">
        <w:t xml:space="preserve"> </w:t>
      </w:r>
      <w:r w:rsidR="002A0BC6" w:rsidRPr="00966B45">
        <w:t>with the academic environment</w:t>
      </w:r>
      <w:r w:rsidRPr="00966B45">
        <w:t xml:space="preserve"> in mathematical subjects</w:t>
      </w:r>
      <w:r w:rsidR="002A0BC6" w:rsidRPr="00966B45">
        <w:t xml:space="preserve">. </w:t>
      </w:r>
      <w:r w:rsidRPr="00966B45">
        <w:t xml:space="preserve">The support departments </w:t>
      </w:r>
      <w:r w:rsidR="002A0BC6" w:rsidRPr="00966B45">
        <w:t xml:space="preserve">want to anticipate the challenge </w:t>
      </w:r>
      <w:r w:rsidRPr="00966B45">
        <w:t xml:space="preserve">as otherwise support cannot be put in </w:t>
      </w:r>
      <w:r w:rsidR="002A0BC6" w:rsidRPr="00966B45">
        <w:t xml:space="preserve">place in time. </w:t>
      </w:r>
      <w:r w:rsidRPr="0084761E">
        <w:t>They felt that</w:t>
      </w:r>
      <w:r w:rsidR="00821B52" w:rsidRPr="0084761E">
        <w:t xml:space="preserve"> approaches</w:t>
      </w:r>
      <w:r w:rsidRPr="0084761E">
        <w:t xml:space="preserve"> to </w:t>
      </w:r>
      <w:r w:rsidR="00821B52" w:rsidRPr="0084761E">
        <w:t xml:space="preserve">assist in </w:t>
      </w:r>
      <w:r w:rsidRPr="0084761E">
        <w:t>get</w:t>
      </w:r>
      <w:r w:rsidR="00821B52" w:rsidRPr="0084761E">
        <w:t>ting</w:t>
      </w:r>
      <w:r w:rsidRPr="0084761E">
        <w:t xml:space="preserve"> </w:t>
      </w:r>
      <w:r w:rsidR="00821B52" w:rsidRPr="0084761E">
        <w:t xml:space="preserve">departments </w:t>
      </w:r>
      <w:r w:rsidRPr="0084761E">
        <w:t>‘</w:t>
      </w:r>
      <w:r w:rsidR="002A0BC6" w:rsidRPr="0084761E">
        <w:t>on board</w:t>
      </w:r>
      <w:r w:rsidRPr="0084761E">
        <w:t>’</w:t>
      </w:r>
      <w:r w:rsidR="00821B52" w:rsidRPr="0084761E">
        <w:t>;</w:t>
      </w:r>
      <w:r w:rsidR="002A0BC6" w:rsidRPr="0084761E">
        <w:t xml:space="preserve"> </w:t>
      </w:r>
      <w:r w:rsidR="00970DBF" w:rsidRPr="0084761E">
        <w:t xml:space="preserve">approaches </w:t>
      </w:r>
      <w:r w:rsidR="00821B52" w:rsidRPr="0084761E">
        <w:t xml:space="preserve">to assist departments </w:t>
      </w:r>
      <w:r w:rsidR="00970DBF" w:rsidRPr="0084761E">
        <w:t xml:space="preserve">in </w:t>
      </w:r>
      <w:r w:rsidR="00821B52" w:rsidRPr="0084761E">
        <w:t xml:space="preserve">extracting from support professionals </w:t>
      </w:r>
      <w:r w:rsidRPr="0084761E">
        <w:t xml:space="preserve">the information they </w:t>
      </w:r>
      <w:r w:rsidR="002A0BC6" w:rsidRPr="0084761E">
        <w:t>need</w:t>
      </w:r>
      <w:r w:rsidR="00821B52" w:rsidRPr="0084761E">
        <w:t xml:space="preserve"> and </w:t>
      </w:r>
      <w:r w:rsidR="00970DBF" w:rsidRPr="0084761E">
        <w:t xml:space="preserve">approaches </w:t>
      </w:r>
      <w:r w:rsidR="00821B52" w:rsidRPr="0084761E">
        <w:t xml:space="preserve">to assist </w:t>
      </w:r>
      <w:r w:rsidR="00821B52" w:rsidRPr="0084761E">
        <w:lastRenderedPageBreak/>
        <w:t>departments working proactively</w:t>
      </w:r>
      <w:r w:rsidRPr="0084761E">
        <w:t xml:space="preserve"> and </w:t>
      </w:r>
      <w:r w:rsidR="00821B52" w:rsidRPr="0084761E">
        <w:t>then moving</w:t>
      </w:r>
      <w:r w:rsidRPr="0084761E">
        <w:t xml:space="preserve"> forwards</w:t>
      </w:r>
      <w:r w:rsidR="002A0BC6" w:rsidRPr="0084761E">
        <w:t xml:space="preserve"> with the student</w:t>
      </w:r>
      <w:r w:rsidR="00821B52" w:rsidRPr="0084761E">
        <w:t xml:space="preserve"> were required</w:t>
      </w:r>
      <w:r w:rsidR="002A0BC6" w:rsidRPr="0084761E">
        <w:t xml:space="preserve">. </w:t>
      </w:r>
    </w:p>
    <w:p w:rsidR="002A0BC6" w:rsidRPr="0084761E" w:rsidRDefault="00AC1788" w:rsidP="00D56552">
      <w:pPr>
        <w:numPr>
          <w:ilvl w:val="0"/>
          <w:numId w:val="5"/>
        </w:numPr>
      </w:pPr>
      <w:r w:rsidRPr="0084761E">
        <w:t xml:space="preserve">This group also felt that there was a need to </w:t>
      </w:r>
      <w:r w:rsidR="002A0BC6" w:rsidRPr="0084761E">
        <w:t>give department</w:t>
      </w:r>
      <w:r w:rsidRPr="0084761E">
        <w:t>s</w:t>
      </w:r>
      <w:r w:rsidR="002A0BC6" w:rsidRPr="0084761E">
        <w:t xml:space="preserve"> recognition</w:t>
      </w:r>
      <w:r w:rsidR="00871FD3" w:rsidRPr="0084761E">
        <w:t xml:space="preserve"> for such work</w:t>
      </w:r>
      <w:r w:rsidRPr="0084761E">
        <w:t>.</w:t>
      </w:r>
      <w:r w:rsidR="002A0BC6" w:rsidRPr="0084761E">
        <w:t xml:space="preserve"> </w:t>
      </w:r>
      <w:r w:rsidR="005B4D28" w:rsidRPr="0084761E">
        <w:t xml:space="preserve">This is needed to prevent the work being seen as an ‘extra’. For instance, in support they had successfully delivered there was often </w:t>
      </w:r>
      <w:r w:rsidR="002A0BC6" w:rsidRPr="0084761E">
        <w:t xml:space="preserve">a </w:t>
      </w:r>
      <w:r w:rsidR="005B4D28" w:rsidRPr="0084761E">
        <w:t>‘</w:t>
      </w:r>
      <w:r w:rsidR="002A0BC6" w:rsidRPr="0084761E">
        <w:t>champion</w:t>
      </w:r>
      <w:r w:rsidR="005B4D28" w:rsidRPr="0084761E">
        <w:t xml:space="preserve">’ role – a department member who </w:t>
      </w:r>
      <w:r w:rsidR="002A0BC6" w:rsidRPr="0084761E">
        <w:t>got very heavily involved</w:t>
      </w:r>
      <w:r w:rsidR="005B4D28" w:rsidRPr="0084761E">
        <w:t>.</w:t>
      </w:r>
      <w:r w:rsidR="002A0BC6" w:rsidRPr="0084761E">
        <w:t xml:space="preserve"> </w:t>
      </w:r>
      <w:r w:rsidR="005B4D28" w:rsidRPr="0084761E">
        <w:t xml:space="preserve">Which while positive </w:t>
      </w:r>
      <w:r w:rsidR="002A0BC6" w:rsidRPr="0084761E">
        <w:t xml:space="preserve">it </w:t>
      </w:r>
      <w:r w:rsidR="005B4D28" w:rsidRPr="0084761E">
        <w:t xml:space="preserve">always </w:t>
      </w:r>
      <w:r w:rsidR="002A0BC6" w:rsidRPr="0084761E">
        <w:t xml:space="preserve">came across more as a good will </w:t>
      </w:r>
      <w:proofErr w:type="gramStart"/>
      <w:r w:rsidR="002A0BC6" w:rsidRPr="0084761E">
        <w:t>gesture.</w:t>
      </w:r>
      <w:proofErr w:type="gramEnd"/>
      <w:r w:rsidR="002A0BC6" w:rsidRPr="0084761E">
        <w:t xml:space="preserve"> If </w:t>
      </w:r>
      <w:r w:rsidR="00803509" w:rsidRPr="0084761E">
        <w:t xml:space="preserve">such a champion does not </w:t>
      </w:r>
      <w:r w:rsidR="002A0BC6" w:rsidRPr="0084761E">
        <w:t xml:space="preserve">get involved then the student loses out because of the requirement for subject knowledge </w:t>
      </w:r>
      <w:r w:rsidR="00803509" w:rsidRPr="0084761E">
        <w:t xml:space="preserve">when dealing with </w:t>
      </w:r>
      <w:r w:rsidR="002A0BC6" w:rsidRPr="0084761E">
        <w:t>images</w:t>
      </w:r>
      <w:r w:rsidR="00DB0F3F" w:rsidRPr="0084761E">
        <w:t>, notation</w:t>
      </w:r>
      <w:r w:rsidR="002A0BC6" w:rsidRPr="0084761E">
        <w:t xml:space="preserve"> and </w:t>
      </w:r>
      <w:proofErr w:type="spellStart"/>
      <w:r w:rsidR="00D22761" w:rsidRPr="0084761E">
        <w:t>LaTeX</w:t>
      </w:r>
      <w:proofErr w:type="spellEnd"/>
      <w:r w:rsidR="00D22761" w:rsidRPr="0084761E">
        <w:t xml:space="preserve"> etc</w:t>
      </w:r>
      <w:proofErr w:type="gramStart"/>
      <w:r w:rsidR="00D22761" w:rsidRPr="0084761E">
        <w:t>.</w:t>
      </w:r>
      <w:r w:rsidR="002A0BC6" w:rsidRPr="0084761E">
        <w:t>.</w:t>
      </w:r>
      <w:proofErr w:type="gramEnd"/>
      <w:r w:rsidR="002A0BC6" w:rsidRPr="0084761E">
        <w:t xml:space="preserve"> There is not a choice there – for the student to succeed you need that involvement</w:t>
      </w:r>
      <w:r w:rsidR="00803509" w:rsidRPr="0084761E">
        <w:t xml:space="preserve"> so it should be formal and recognised rather than good will</w:t>
      </w:r>
      <w:r w:rsidR="002A0BC6" w:rsidRPr="0084761E">
        <w:t xml:space="preserve">. </w:t>
      </w:r>
    </w:p>
    <w:p w:rsidR="00873B08" w:rsidRPr="0084761E" w:rsidRDefault="00873B08" w:rsidP="00873B08">
      <w:r w:rsidRPr="0084761E">
        <w:t>They also noted some other areas of concern:</w:t>
      </w:r>
    </w:p>
    <w:p w:rsidR="002A0BC6" w:rsidRPr="0084761E" w:rsidRDefault="00784673" w:rsidP="00D56552">
      <w:pPr>
        <w:numPr>
          <w:ilvl w:val="0"/>
          <w:numId w:val="5"/>
        </w:numPr>
      </w:pPr>
      <w:r w:rsidRPr="0084761E">
        <w:t>There is a need for increased s</w:t>
      </w:r>
      <w:r w:rsidR="002A0BC6" w:rsidRPr="0084761E">
        <w:t xml:space="preserve">haring </w:t>
      </w:r>
      <w:r w:rsidRPr="0084761E">
        <w:t xml:space="preserve">of </w:t>
      </w:r>
      <w:r w:rsidR="002A0BC6" w:rsidRPr="0084761E">
        <w:t>good practice</w:t>
      </w:r>
      <w:r w:rsidRPr="0084761E">
        <w:t xml:space="preserve"> in this area</w:t>
      </w:r>
      <w:r w:rsidR="002A0BC6" w:rsidRPr="0084761E">
        <w:t>.</w:t>
      </w:r>
    </w:p>
    <w:p w:rsidR="002A0BC6" w:rsidRPr="0084761E" w:rsidRDefault="002A09F9" w:rsidP="00D56552">
      <w:pPr>
        <w:numPr>
          <w:ilvl w:val="0"/>
          <w:numId w:val="5"/>
        </w:numPr>
      </w:pPr>
      <w:r w:rsidRPr="0084761E">
        <w:t xml:space="preserve">Some of the tools mentioned in the final talk (Emma </w:t>
      </w:r>
      <w:proofErr w:type="spellStart"/>
      <w:r w:rsidRPr="0084761E">
        <w:t>Cliffe</w:t>
      </w:r>
      <w:proofErr w:type="spellEnd"/>
      <w:r w:rsidRPr="0084761E">
        <w:t xml:space="preserve">) were developed by students for their own use or are created by researchers. How can these be developed </w:t>
      </w:r>
      <w:r w:rsidR="002A0BC6" w:rsidRPr="0084761E">
        <w:t>and made available more widely</w:t>
      </w:r>
      <w:r w:rsidRPr="0084761E">
        <w:t xml:space="preserve"> or commercialised?</w:t>
      </w:r>
      <w:r w:rsidR="002A0BC6" w:rsidRPr="0084761E">
        <w:t xml:space="preserve"> </w:t>
      </w:r>
    </w:p>
    <w:p w:rsidR="002A0BC6" w:rsidRPr="0084761E" w:rsidRDefault="001213A6" w:rsidP="00D56552">
      <w:pPr>
        <w:numPr>
          <w:ilvl w:val="0"/>
          <w:numId w:val="5"/>
        </w:numPr>
      </w:pPr>
      <w:r w:rsidRPr="0084761E">
        <w:t>It might be beneficial for students</w:t>
      </w:r>
      <w:r w:rsidR="007651A6" w:rsidRPr="0084761E">
        <w:t>/graduates</w:t>
      </w:r>
      <w:r w:rsidRPr="0084761E">
        <w:t xml:space="preserve"> to share their approaches </w:t>
      </w:r>
      <w:r w:rsidR="007651A6" w:rsidRPr="0084761E">
        <w:t xml:space="preserve">and experience </w:t>
      </w:r>
      <w:r w:rsidRPr="0084761E">
        <w:t xml:space="preserve">with other students. </w:t>
      </w:r>
      <w:r w:rsidR="002A0BC6" w:rsidRPr="0084761E">
        <w:t>Summer school</w:t>
      </w:r>
      <w:r w:rsidRPr="0084761E">
        <w:t>s</w:t>
      </w:r>
      <w:r w:rsidR="002A0BC6" w:rsidRPr="0084761E">
        <w:t xml:space="preserve"> focusing on this </w:t>
      </w:r>
      <w:r w:rsidRPr="0084761E">
        <w:t>might be helpful.</w:t>
      </w:r>
    </w:p>
    <w:p w:rsidR="002A0BC6" w:rsidRPr="0084761E" w:rsidRDefault="002A0BC6" w:rsidP="00D56552">
      <w:pPr>
        <w:numPr>
          <w:ilvl w:val="0"/>
          <w:numId w:val="5"/>
        </w:numPr>
      </w:pPr>
      <w:r w:rsidRPr="0084761E">
        <w:t xml:space="preserve">The lead in time. </w:t>
      </w:r>
    </w:p>
    <w:p w:rsidR="002A0BC6" w:rsidRPr="0084761E" w:rsidRDefault="00CE1606" w:rsidP="008C4BDB">
      <w:pPr>
        <w:pStyle w:val="Heading2"/>
      </w:pPr>
      <w:r w:rsidRPr="0084761E">
        <w:t>Group 4</w:t>
      </w:r>
    </w:p>
    <w:p w:rsidR="00873B08" w:rsidRPr="0084761E" w:rsidRDefault="00873B08" w:rsidP="00873B08">
      <w:r w:rsidRPr="0084761E">
        <w:t xml:space="preserve">This group again considered all the scenarios and focussed </w:t>
      </w:r>
      <w:r w:rsidR="00757771" w:rsidRPr="0084761E">
        <w:t>on the needs assessment process</w:t>
      </w:r>
      <w:r w:rsidR="009518FA" w:rsidRPr="0084761E">
        <w:t xml:space="preserve"> and subsequent provision of equipment</w:t>
      </w:r>
      <w:r w:rsidR="00757771" w:rsidRPr="0084761E">
        <w:t xml:space="preserve">. Students who have applied for and being assessed as eligible for the Disabled Students’ Allowance (DSA) are required to attend a Study Aids and Study Strategies Assessment (commonly called a needs assessment). The needs assessor is “a person qualified by their experience &amp; knowledge of the equipment and support that students with disabilities (including dyslexia) need to study successfully at university” (National Network of Assessment Centres). </w:t>
      </w:r>
      <w:r w:rsidR="00F11602" w:rsidRPr="0084761E">
        <w:t>It is usual for a student who has software or hardware recommended and funded to receive training on this by an AT Trainer.</w:t>
      </w:r>
    </w:p>
    <w:p w:rsidR="00C51C2B" w:rsidRPr="0084761E" w:rsidRDefault="00C51C2B" w:rsidP="00D56552">
      <w:pPr>
        <w:numPr>
          <w:ilvl w:val="0"/>
          <w:numId w:val="6"/>
        </w:numPr>
      </w:pPr>
      <w:r w:rsidRPr="0084761E">
        <w:t>It is important that a</w:t>
      </w:r>
      <w:r w:rsidR="002A0BC6" w:rsidRPr="0084761E">
        <w:t xml:space="preserve">ssessors of needs have up to date knowledge </w:t>
      </w:r>
      <w:r w:rsidRPr="0084761E">
        <w:t>on accessing mathematical studies to ensure that the</w:t>
      </w:r>
      <w:r w:rsidR="002A0BC6" w:rsidRPr="0084761E">
        <w:t xml:space="preserve"> right </w:t>
      </w:r>
      <w:r w:rsidRPr="0084761E">
        <w:t xml:space="preserve">equipment and support is recommended </w:t>
      </w:r>
      <w:r w:rsidR="002A0BC6" w:rsidRPr="0084761E">
        <w:t xml:space="preserve">at the </w:t>
      </w:r>
      <w:r w:rsidRPr="0084761E">
        <w:t>outset</w:t>
      </w:r>
      <w:r w:rsidR="002A0BC6" w:rsidRPr="0084761E">
        <w:t xml:space="preserve">. </w:t>
      </w:r>
      <w:r w:rsidR="00C75D36" w:rsidRPr="0084761E">
        <w:t>It is noted that ass</w:t>
      </w:r>
      <w:r w:rsidR="00A67934" w:rsidRPr="0084761E">
        <w:t>essors do not tend to specialise</w:t>
      </w:r>
      <w:r w:rsidR="00C75D36" w:rsidRPr="0084761E">
        <w:t xml:space="preserve"> by subject area and few may have a mathematical background.</w:t>
      </w:r>
    </w:p>
    <w:p w:rsidR="002A0BC6" w:rsidRPr="0084761E" w:rsidRDefault="002A0BC6" w:rsidP="00064E3B">
      <w:pPr>
        <w:numPr>
          <w:ilvl w:val="0"/>
          <w:numId w:val="6"/>
        </w:numPr>
      </w:pPr>
      <w:r w:rsidRPr="0084761E">
        <w:t xml:space="preserve">It </w:t>
      </w:r>
      <w:r w:rsidR="00C51C2B" w:rsidRPr="0084761E">
        <w:t xml:space="preserve">is </w:t>
      </w:r>
      <w:r w:rsidRPr="0084761E">
        <w:t xml:space="preserve">important for AT </w:t>
      </w:r>
      <w:r w:rsidR="00C51C2B" w:rsidRPr="0084761E">
        <w:t xml:space="preserve">trainers </w:t>
      </w:r>
      <w:r w:rsidRPr="0084761E">
        <w:t xml:space="preserve">and </w:t>
      </w:r>
      <w:r w:rsidR="00C51C2B" w:rsidRPr="0084761E">
        <w:t xml:space="preserve">other </w:t>
      </w:r>
      <w:r w:rsidRPr="0084761E">
        <w:t xml:space="preserve">study </w:t>
      </w:r>
      <w:r w:rsidR="00C51C2B" w:rsidRPr="0084761E">
        <w:t xml:space="preserve">support workers (e.g. Study Skills Tutor, Mentor etc.) </w:t>
      </w:r>
      <w:r w:rsidRPr="0084761E">
        <w:t xml:space="preserve">to have knowledge and awareness </w:t>
      </w:r>
      <w:r w:rsidR="00C51C2B" w:rsidRPr="0084761E">
        <w:t xml:space="preserve">regarding access </w:t>
      </w:r>
      <w:r w:rsidR="00C51C2B" w:rsidRPr="0084761E">
        <w:lastRenderedPageBreak/>
        <w:t xml:space="preserve">to mathematical subjects </w:t>
      </w:r>
      <w:r w:rsidRPr="0084761E">
        <w:t xml:space="preserve">and </w:t>
      </w:r>
      <w:r w:rsidR="00C51C2B" w:rsidRPr="0084761E">
        <w:t xml:space="preserve">the </w:t>
      </w:r>
      <w:r w:rsidRPr="0084761E">
        <w:t>best way</w:t>
      </w:r>
      <w:r w:rsidR="00C51C2B" w:rsidRPr="0084761E">
        <w:t>s</w:t>
      </w:r>
      <w:r w:rsidRPr="0084761E">
        <w:t xml:space="preserve"> to support student</w:t>
      </w:r>
      <w:r w:rsidR="00C51C2B" w:rsidRPr="0084761E">
        <w:t>s studying these</w:t>
      </w:r>
      <w:r w:rsidRPr="0084761E">
        <w:t xml:space="preserve">. </w:t>
      </w:r>
      <w:r w:rsidR="00C75D36" w:rsidRPr="0084761E">
        <w:t>It is noted that few may have a mathematical background.</w:t>
      </w:r>
    </w:p>
    <w:p w:rsidR="002A0BC6" w:rsidRPr="0084761E" w:rsidRDefault="00064E3B" w:rsidP="00D56552">
      <w:pPr>
        <w:numPr>
          <w:ilvl w:val="0"/>
          <w:numId w:val="6"/>
        </w:numPr>
      </w:pPr>
      <w:r w:rsidRPr="0084761E">
        <w:t xml:space="preserve">One attendee </w:t>
      </w:r>
      <w:r w:rsidR="009023E8" w:rsidRPr="0084761E">
        <w:t xml:space="preserve">(AT trainer) </w:t>
      </w:r>
      <w:r w:rsidRPr="0084761E">
        <w:t>noted that at their institution the Assessment C</w:t>
      </w:r>
      <w:r w:rsidR="002A0BC6" w:rsidRPr="0084761E">
        <w:t xml:space="preserve">entre is </w:t>
      </w:r>
      <w:r w:rsidRPr="0084761E">
        <w:t>‘</w:t>
      </w:r>
      <w:r w:rsidR="002A0BC6" w:rsidRPr="0084761E">
        <w:t>in house</w:t>
      </w:r>
      <w:r w:rsidRPr="0084761E">
        <w:t>’. T</w:t>
      </w:r>
      <w:r w:rsidR="002A0BC6" w:rsidRPr="0084761E">
        <w:t xml:space="preserve">his </w:t>
      </w:r>
      <w:r w:rsidRPr="0084761E">
        <w:t xml:space="preserve">was seen as a particular </w:t>
      </w:r>
      <w:r w:rsidR="002A0BC6" w:rsidRPr="0084761E">
        <w:t xml:space="preserve">advantage for </w:t>
      </w:r>
      <w:r w:rsidRPr="0084761E">
        <w:t>Science, Technology, Engineering and Mathematics (</w:t>
      </w:r>
      <w:r w:rsidR="002A0BC6" w:rsidRPr="0084761E">
        <w:t>STEM</w:t>
      </w:r>
      <w:r w:rsidRPr="0084761E">
        <w:t>)</w:t>
      </w:r>
      <w:r w:rsidR="002A0BC6" w:rsidRPr="0084761E">
        <w:t xml:space="preserve"> as </w:t>
      </w:r>
      <w:r w:rsidRPr="0084761E">
        <w:t xml:space="preserve">needs assessors </w:t>
      </w:r>
      <w:r w:rsidR="002A0BC6" w:rsidRPr="0084761E">
        <w:t xml:space="preserve">have </w:t>
      </w:r>
      <w:r w:rsidRPr="0084761E">
        <w:t xml:space="preserve">direct </w:t>
      </w:r>
      <w:r w:rsidR="002A0BC6" w:rsidRPr="0084761E">
        <w:t xml:space="preserve">access to academics </w:t>
      </w:r>
      <w:r w:rsidRPr="0084761E">
        <w:t xml:space="preserve">in these areas during the assessment process. The academics can therefore </w:t>
      </w:r>
      <w:proofErr w:type="gramStart"/>
      <w:r w:rsidRPr="0084761E">
        <w:t>advise</w:t>
      </w:r>
      <w:proofErr w:type="gramEnd"/>
      <w:r w:rsidRPr="0084761E">
        <w:t>. Again, three</w:t>
      </w:r>
      <w:r w:rsidR="002A0BC6" w:rsidRPr="0084761E">
        <w:t xml:space="preserve"> AT </w:t>
      </w:r>
      <w:r w:rsidRPr="0084761E">
        <w:t>trainers were also ‘in house’ enabling provision to align more easily with the requirements of these subjects</w:t>
      </w:r>
      <w:r w:rsidR="002A0BC6" w:rsidRPr="0084761E">
        <w:t xml:space="preserve">. </w:t>
      </w:r>
    </w:p>
    <w:p w:rsidR="002A0BC6" w:rsidRPr="0084761E" w:rsidRDefault="00EE53A8" w:rsidP="00D56552">
      <w:pPr>
        <w:numPr>
          <w:ilvl w:val="0"/>
          <w:numId w:val="6"/>
        </w:numPr>
      </w:pPr>
      <w:r w:rsidRPr="0084761E">
        <w:t xml:space="preserve">Another attendee (disability practitioner) noted that they work in the opposite situation and are </w:t>
      </w:r>
      <w:r w:rsidR="002A0BC6" w:rsidRPr="0084761E">
        <w:t xml:space="preserve">forbidden to </w:t>
      </w:r>
      <w:r w:rsidRPr="0084761E">
        <w:t xml:space="preserve">directly communicate with </w:t>
      </w:r>
      <w:r w:rsidR="002A0BC6" w:rsidRPr="0084761E">
        <w:t xml:space="preserve">academic staff. </w:t>
      </w:r>
      <w:r w:rsidR="000B5FE2" w:rsidRPr="0084761E">
        <w:t>The practitioner is unsure w</w:t>
      </w:r>
      <w:r w:rsidR="002A0BC6" w:rsidRPr="0084761E">
        <w:t xml:space="preserve">hat the student does with </w:t>
      </w:r>
      <w:r w:rsidR="00144DBB" w:rsidRPr="0084761E">
        <w:t xml:space="preserve">information, </w:t>
      </w:r>
      <w:r w:rsidR="000B5FE2" w:rsidRPr="0084761E">
        <w:t xml:space="preserve">equipment </w:t>
      </w:r>
      <w:r w:rsidR="00144DBB" w:rsidRPr="0084761E">
        <w:t xml:space="preserve">and strategies </w:t>
      </w:r>
      <w:r w:rsidR="000B5FE2" w:rsidRPr="0084761E">
        <w:t xml:space="preserve">when they take </w:t>
      </w:r>
      <w:r w:rsidR="00144DBB" w:rsidRPr="0084761E">
        <w:t xml:space="preserve">them </w:t>
      </w:r>
      <w:r w:rsidR="000B5FE2" w:rsidRPr="0084761E">
        <w:t>back into the context of their studies.</w:t>
      </w:r>
      <w:r w:rsidR="002A0BC6" w:rsidRPr="0084761E">
        <w:t xml:space="preserve"> </w:t>
      </w:r>
      <w:r w:rsidR="000B5FE2" w:rsidRPr="0084761E">
        <w:t xml:space="preserve">They </w:t>
      </w:r>
      <w:r w:rsidR="002A0BC6" w:rsidRPr="0084761E">
        <w:t xml:space="preserve">have to </w:t>
      </w:r>
      <w:r w:rsidR="000B5FE2" w:rsidRPr="0084761E">
        <w:t>focus on creating</w:t>
      </w:r>
      <w:r w:rsidR="002A0BC6" w:rsidRPr="0084761E">
        <w:t xml:space="preserve"> a situation where the student can</w:t>
      </w:r>
      <w:r w:rsidR="000B5FE2" w:rsidRPr="0084761E">
        <w:t xml:space="preserve"> advocate for themselves, </w:t>
      </w:r>
      <w:r w:rsidR="002A0BC6" w:rsidRPr="0084761E">
        <w:t>can understand the questions that they need to</w:t>
      </w:r>
      <w:r w:rsidR="000B5FE2" w:rsidRPr="0084761E">
        <w:t xml:space="preserve"> ask and can use this information</w:t>
      </w:r>
      <w:r w:rsidR="002A0BC6" w:rsidRPr="0084761E">
        <w:t xml:space="preserve"> themselves. </w:t>
      </w:r>
      <w:r w:rsidR="009023E8" w:rsidRPr="0084761E">
        <w:t>This can be a complicating factor in STEM subjects.</w:t>
      </w:r>
    </w:p>
    <w:p w:rsidR="002A0BC6" w:rsidRPr="0084761E" w:rsidRDefault="009023E8" w:rsidP="00D56552">
      <w:pPr>
        <w:numPr>
          <w:ilvl w:val="0"/>
          <w:numId w:val="6"/>
        </w:numPr>
      </w:pPr>
      <w:r w:rsidRPr="0084761E">
        <w:t xml:space="preserve">A third attendee (lecturer) noted yet another approach in this area. In their faculty they meet with all STEM students prior to their needs assessment. They assess the needs themselves with the student using their knowledge of the specialist requirements of the degree and </w:t>
      </w:r>
      <w:r w:rsidR="002A0BC6" w:rsidRPr="0084761E">
        <w:t xml:space="preserve">send </w:t>
      </w:r>
      <w:r w:rsidRPr="0084761E">
        <w:t xml:space="preserve">their </w:t>
      </w:r>
      <w:r w:rsidR="002A0BC6" w:rsidRPr="0084761E">
        <w:t>STEM students to t</w:t>
      </w:r>
      <w:r w:rsidRPr="0084761E">
        <w:t>he needs assessment with a list!</w:t>
      </w:r>
      <w:r w:rsidR="002A0BC6" w:rsidRPr="0084761E">
        <w:t xml:space="preserve"> </w:t>
      </w:r>
      <w:r w:rsidRPr="0084761E">
        <w:t>They do this to minimise ‘</w:t>
      </w:r>
      <w:r w:rsidR="002A0BC6" w:rsidRPr="0084761E">
        <w:t>pointless</w:t>
      </w:r>
      <w:r w:rsidRPr="0084761E">
        <w:t>’</w:t>
      </w:r>
      <w:r w:rsidR="002A0BC6" w:rsidRPr="0084761E">
        <w:t xml:space="preserve"> spending of money</w:t>
      </w:r>
      <w:r w:rsidRPr="0084761E">
        <w:t xml:space="preserve"> on software and hardware which is not fit for purpose</w:t>
      </w:r>
      <w:r w:rsidR="002A0BC6" w:rsidRPr="0084761E">
        <w:t xml:space="preserve">. </w:t>
      </w:r>
    </w:p>
    <w:p w:rsidR="002A0BC6" w:rsidRPr="0084761E" w:rsidRDefault="00CC6F8C" w:rsidP="00D56552">
      <w:pPr>
        <w:numPr>
          <w:ilvl w:val="0"/>
          <w:numId w:val="6"/>
        </w:numPr>
      </w:pPr>
      <w:r w:rsidRPr="0084761E">
        <w:t>A fourth attendee (lecturer) noted that in their department s</w:t>
      </w:r>
      <w:r w:rsidR="002A0BC6" w:rsidRPr="0084761E">
        <w:t>ome needs assessors</w:t>
      </w:r>
      <w:r w:rsidRPr="0084761E">
        <w:t>, but not all,</w:t>
      </w:r>
      <w:r w:rsidR="002A0BC6" w:rsidRPr="0084761E">
        <w:t xml:space="preserve"> make contact</w:t>
      </w:r>
      <w:r w:rsidRPr="0084761E">
        <w:t>. They were aware that</w:t>
      </w:r>
      <w:r w:rsidR="002A0BC6" w:rsidRPr="0084761E">
        <w:t xml:space="preserve"> </w:t>
      </w:r>
      <w:r w:rsidRPr="0084761E">
        <w:t xml:space="preserve">some </w:t>
      </w:r>
      <w:r w:rsidR="002A0BC6" w:rsidRPr="0084761E">
        <w:t>needs assessors speci</w:t>
      </w:r>
      <w:r w:rsidRPr="0084761E">
        <w:t>alise in different disabilities and wondered if</w:t>
      </w:r>
      <w:r w:rsidR="002A0BC6" w:rsidRPr="0084761E">
        <w:t xml:space="preserve"> </w:t>
      </w:r>
      <w:r w:rsidRPr="0084761E">
        <w:t xml:space="preserve">the profile of </w:t>
      </w:r>
      <w:proofErr w:type="gramStart"/>
      <w:r w:rsidRPr="0084761E">
        <w:t>needs</w:t>
      </w:r>
      <w:proofErr w:type="gramEnd"/>
      <w:r w:rsidRPr="0084761E">
        <w:t xml:space="preserve"> assessor</w:t>
      </w:r>
      <w:r w:rsidR="002A0BC6" w:rsidRPr="0084761E">
        <w:t xml:space="preserve">s </w:t>
      </w:r>
      <w:r w:rsidRPr="0084761E">
        <w:t xml:space="preserve">which </w:t>
      </w:r>
      <w:r w:rsidR="002A0BC6" w:rsidRPr="0084761E">
        <w:t xml:space="preserve">specialise in STEM </w:t>
      </w:r>
      <w:r w:rsidRPr="0084761E">
        <w:t xml:space="preserve">(if there are any?) can </w:t>
      </w:r>
      <w:r w:rsidR="002A0BC6" w:rsidRPr="0084761E">
        <w:t>be raised and recognised</w:t>
      </w:r>
      <w:r w:rsidRPr="0084761E">
        <w:t>.</w:t>
      </w:r>
      <w:r w:rsidR="002A0BC6" w:rsidRPr="0084761E">
        <w:t xml:space="preserve"> </w:t>
      </w:r>
      <w:r w:rsidRPr="0084761E">
        <w:t xml:space="preserve">It was felt </w:t>
      </w:r>
      <w:r w:rsidR="002A0BC6" w:rsidRPr="0084761E">
        <w:t xml:space="preserve">that </w:t>
      </w:r>
      <w:r w:rsidRPr="0084761E">
        <w:t xml:space="preserve">assessors </w:t>
      </w:r>
      <w:r w:rsidR="002A0BC6" w:rsidRPr="0084761E">
        <w:t xml:space="preserve">need to have </w:t>
      </w:r>
      <w:r w:rsidRPr="0084761E">
        <w:t xml:space="preserve">the </w:t>
      </w:r>
      <w:r w:rsidR="002A0BC6" w:rsidRPr="0084761E">
        <w:t xml:space="preserve">type of knowledge and understanding </w:t>
      </w:r>
      <w:r w:rsidRPr="0084761E">
        <w:t xml:space="preserve">discussed on the day or </w:t>
      </w:r>
      <w:proofErr w:type="gramStart"/>
      <w:r w:rsidRPr="0084761E">
        <w:t>a suitable needs</w:t>
      </w:r>
      <w:proofErr w:type="gramEnd"/>
      <w:r w:rsidRPr="0084761E">
        <w:t xml:space="preserve"> assessment will not </w:t>
      </w:r>
      <w:r w:rsidR="002A0BC6" w:rsidRPr="0084761E">
        <w:t xml:space="preserve">happen. </w:t>
      </w:r>
    </w:p>
    <w:p w:rsidR="002A0BC6" w:rsidRPr="0084761E" w:rsidRDefault="00CE1606" w:rsidP="008C4BDB">
      <w:pPr>
        <w:pStyle w:val="Heading2"/>
      </w:pPr>
      <w:r w:rsidRPr="0084761E">
        <w:t>Group 5</w:t>
      </w:r>
    </w:p>
    <w:p w:rsidR="00873B08" w:rsidRPr="0084761E" w:rsidRDefault="00873B08" w:rsidP="00873B08">
      <w:r w:rsidRPr="0084761E">
        <w:t>This final group noted agreement with many of the above points. They had also considered how subject specialist information can be shared with disability practitioners and vice versa:</w:t>
      </w:r>
    </w:p>
    <w:p w:rsidR="002A0BC6" w:rsidRPr="0084761E" w:rsidRDefault="007E75E6" w:rsidP="00D56552">
      <w:pPr>
        <w:numPr>
          <w:ilvl w:val="0"/>
          <w:numId w:val="7"/>
        </w:numPr>
      </w:pPr>
      <w:r w:rsidRPr="0084761E">
        <w:t>As alluded to above, it is rare to have a single person with subject specialism, knowledge of impacts of specific disabilities</w:t>
      </w:r>
      <w:r w:rsidR="002A0BC6" w:rsidRPr="0084761E">
        <w:t xml:space="preserve"> and </w:t>
      </w:r>
      <w:r w:rsidRPr="0084761E">
        <w:t>knowledge of assistive technology. H</w:t>
      </w:r>
      <w:r w:rsidR="002A0BC6" w:rsidRPr="0084761E">
        <w:t xml:space="preserve">ow does one </w:t>
      </w:r>
      <w:r w:rsidRPr="0084761E">
        <w:t>join the</w:t>
      </w:r>
      <w:r w:rsidR="002A0BC6" w:rsidRPr="0084761E">
        <w:t xml:space="preserve">se </w:t>
      </w:r>
      <w:r w:rsidRPr="0084761E">
        <w:t>areas up? H</w:t>
      </w:r>
      <w:r w:rsidR="002A0BC6" w:rsidRPr="0084761E">
        <w:t xml:space="preserve">ow do you find </w:t>
      </w:r>
      <w:r w:rsidRPr="0084761E">
        <w:t xml:space="preserve">such a </w:t>
      </w:r>
      <w:r w:rsidR="002A0BC6" w:rsidRPr="0084761E">
        <w:t>person in the first place</w:t>
      </w:r>
      <w:r w:rsidRPr="0084761E">
        <w:t>?</w:t>
      </w:r>
      <w:r w:rsidR="002A0BC6" w:rsidRPr="0084761E">
        <w:t xml:space="preserve"> </w:t>
      </w:r>
      <w:r w:rsidRPr="0084761E">
        <w:t>Or d</w:t>
      </w:r>
      <w:r w:rsidR="002A0BC6" w:rsidRPr="0084761E">
        <w:t xml:space="preserve">o we </w:t>
      </w:r>
      <w:r w:rsidRPr="0084761E">
        <w:t xml:space="preserve">need to </w:t>
      </w:r>
      <w:r w:rsidR="002A0BC6" w:rsidRPr="0084761E">
        <w:t xml:space="preserve">motivate academics to take time to </w:t>
      </w:r>
      <w:r w:rsidR="002A0BC6" w:rsidRPr="0084761E">
        <w:lastRenderedPageBreak/>
        <w:t xml:space="preserve">get more involved </w:t>
      </w:r>
      <w:r w:rsidRPr="0084761E">
        <w:t>and so to reduce the need for experts with knowledge in all three areas?</w:t>
      </w:r>
    </w:p>
    <w:p w:rsidR="002A0BC6" w:rsidRPr="0084761E" w:rsidRDefault="00F32AB9" w:rsidP="00D56552">
      <w:pPr>
        <w:numPr>
          <w:ilvl w:val="0"/>
          <w:numId w:val="7"/>
        </w:numPr>
      </w:pPr>
      <w:r w:rsidRPr="0084761E">
        <w:t xml:space="preserve">How can </w:t>
      </w:r>
      <w:proofErr w:type="gramStart"/>
      <w:r w:rsidRPr="0084761E">
        <w:t>f</w:t>
      </w:r>
      <w:r w:rsidR="002A0BC6" w:rsidRPr="0084761E">
        <w:t>unding</w:t>
      </w:r>
      <w:proofErr w:type="gramEnd"/>
      <w:r w:rsidR="002A0BC6" w:rsidRPr="0084761E">
        <w:t xml:space="preserve"> gaps </w:t>
      </w:r>
      <w:r w:rsidRPr="0084761E">
        <w:t xml:space="preserve">be met? They can be more substantial in mathematical subjects (e.g. extra cost of software, of </w:t>
      </w:r>
      <w:proofErr w:type="spellStart"/>
      <w:r w:rsidRPr="0084761E">
        <w:t>Brailling</w:t>
      </w:r>
      <w:proofErr w:type="spellEnd"/>
      <w:r w:rsidRPr="0084761E">
        <w:t xml:space="preserve"> of mathematics, of specialist support etc.). I</w:t>
      </w:r>
      <w:r w:rsidR="002A0BC6" w:rsidRPr="0084761E">
        <w:t xml:space="preserve">f the DSA </w:t>
      </w:r>
      <w:r w:rsidRPr="0084761E">
        <w:t xml:space="preserve">does not </w:t>
      </w:r>
      <w:r w:rsidR="002A0BC6" w:rsidRPr="0084761E">
        <w:t xml:space="preserve">cover </w:t>
      </w:r>
      <w:r w:rsidRPr="0084761E">
        <w:t>all that is required</w:t>
      </w:r>
      <w:r w:rsidR="002A0BC6" w:rsidRPr="0084761E">
        <w:t xml:space="preserve"> what do </w:t>
      </w:r>
      <w:r w:rsidRPr="0084761E">
        <w:t xml:space="preserve">we </w:t>
      </w:r>
      <w:r w:rsidR="002A0BC6" w:rsidRPr="0084761E">
        <w:t xml:space="preserve">do in smaller institutions? There needs to be some expertise coming from somewhere to help if it is a complex situation. </w:t>
      </w:r>
    </w:p>
    <w:p w:rsidR="002A0BC6" w:rsidRPr="0084761E" w:rsidRDefault="00410DB4" w:rsidP="00410DB4">
      <w:pPr>
        <w:numPr>
          <w:ilvl w:val="0"/>
          <w:numId w:val="7"/>
        </w:numPr>
      </w:pPr>
      <w:r w:rsidRPr="0084761E">
        <w:t xml:space="preserve">It was noted that it was not apparent where a knowledge base of information, good practice etc. would be/is housed. Attendees mentioned both </w:t>
      </w:r>
      <w:r w:rsidR="002A0BC6" w:rsidRPr="0084761E">
        <w:t xml:space="preserve">JISC </w:t>
      </w:r>
      <w:proofErr w:type="spellStart"/>
      <w:r w:rsidR="002A0BC6" w:rsidRPr="0084761E">
        <w:t>TechDis</w:t>
      </w:r>
      <w:proofErr w:type="spellEnd"/>
      <w:r w:rsidR="002A0BC6" w:rsidRPr="0084761E">
        <w:t xml:space="preserve"> </w:t>
      </w:r>
      <w:r w:rsidRPr="0084761E">
        <w:t>who might focus</w:t>
      </w:r>
      <w:r w:rsidR="0084761E" w:rsidRPr="0084761E">
        <w:t xml:space="preserve"> on technology and pedagogy</w:t>
      </w:r>
      <w:r w:rsidRPr="0084761E">
        <w:t xml:space="preserve"> and the </w:t>
      </w:r>
      <w:r w:rsidR="002A0BC6" w:rsidRPr="0084761E">
        <w:t xml:space="preserve">HEA – </w:t>
      </w:r>
      <w:r w:rsidRPr="0084761E">
        <w:t>who might fo</w:t>
      </w:r>
      <w:r w:rsidR="00A240D2" w:rsidRPr="0084761E">
        <w:t xml:space="preserve">cus more on pedagogy and policy </w:t>
      </w:r>
      <w:r w:rsidR="00070466" w:rsidRPr="0084761E">
        <w:t>questions.</w:t>
      </w:r>
      <w:r w:rsidRPr="0084761E">
        <w:t xml:space="preserve"> When attendees were asked where they would typically look for the type of information they need in access to mathematics it was felt that this was not clear. It was not clear if different professions would look to different providers.</w:t>
      </w:r>
      <w:r w:rsidR="002A0BC6" w:rsidRPr="0084761E">
        <w:t xml:space="preserve">  </w:t>
      </w:r>
    </w:p>
    <w:p w:rsidR="002A0BC6" w:rsidRPr="0084761E" w:rsidRDefault="00500B40" w:rsidP="008C4BDB">
      <w:pPr>
        <w:pStyle w:val="Heading2"/>
      </w:pPr>
      <w:r w:rsidRPr="0084761E">
        <w:t>Final remarks from various attendees</w:t>
      </w:r>
    </w:p>
    <w:p w:rsidR="00E67D72" w:rsidRPr="0084761E" w:rsidRDefault="00E67D72" w:rsidP="00E67D72">
      <w:r w:rsidRPr="0084761E">
        <w:t>Finally, some attendees made additional closing remarks:</w:t>
      </w:r>
    </w:p>
    <w:p w:rsidR="002A0BC6" w:rsidRPr="0084761E" w:rsidRDefault="002A0BC6" w:rsidP="00162F64">
      <w:pPr>
        <w:numPr>
          <w:ilvl w:val="0"/>
          <w:numId w:val="8"/>
        </w:numPr>
      </w:pPr>
      <w:r w:rsidRPr="0084761E">
        <w:t xml:space="preserve">Not every university has disabled students in sciences but it is important to provide support </w:t>
      </w:r>
      <w:r w:rsidR="00162F64" w:rsidRPr="0084761E">
        <w:t xml:space="preserve">proactively </w:t>
      </w:r>
      <w:r w:rsidRPr="0084761E">
        <w:t>– academics should have compulsory awareness training about accessibility.</w:t>
      </w:r>
      <w:r w:rsidR="00162F64" w:rsidRPr="0084761E">
        <w:t xml:space="preserve"> This should be returned to regularly e.g. in a d</w:t>
      </w:r>
      <w:r w:rsidRPr="0084761E">
        <w:t>iversity awareness day at least once a year.</w:t>
      </w:r>
    </w:p>
    <w:p w:rsidR="002A0BC6" w:rsidRPr="0084761E" w:rsidRDefault="002A0BC6" w:rsidP="00D56552">
      <w:pPr>
        <w:numPr>
          <w:ilvl w:val="0"/>
          <w:numId w:val="8"/>
        </w:numPr>
      </w:pPr>
      <w:r w:rsidRPr="0084761E">
        <w:t>The</w:t>
      </w:r>
      <w:r w:rsidR="007365D0" w:rsidRPr="0084761E">
        <w:t>re is a</w:t>
      </w:r>
      <w:r w:rsidRPr="0084761E">
        <w:t xml:space="preserve"> barrier to getting </w:t>
      </w:r>
      <w:r w:rsidR="007365D0" w:rsidRPr="0084761E">
        <w:t xml:space="preserve">the type of specialist </w:t>
      </w:r>
      <w:r w:rsidRPr="0084761E">
        <w:t xml:space="preserve">technology </w:t>
      </w:r>
      <w:r w:rsidR="007365D0" w:rsidRPr="0084761E">
        <w:t xml:space="preserve">spoken about today </w:t>
      </w:r>
      <w:r w:rsidRPr="0084761E">
        <w:t xml:space="preserve">from research to development </w:t>
      </w:r>
      <w:r w:rsidR="009C2325" w:rsidRPr="0084761E">
        <w:t xml:space="preserve">and </w:t>
      </w:r>
      <w:r w:rsidRPr="0084761E">
        <w:t xml:space="preserve">to </w:t>
      </w:r>
      <w:r w:rsidR="007365D0" w:rsidRPr="0084761E">
        <w:t>robust/</w:t>
      </w:r>
      <w:r w:rsidRPr="0084761E">
        <w:t xml:space="preserve">sustainable. There seems to be a brick wall and part of that brick wall is the STEM community not saying that this is needed. We need </w:t>
      </w:r>
      <w:r w:rsidR="007365D0" w:rsidRPr="0084761E">
        <w:t xml:space="preserve">the type of tools mentioned today </w:t>
      </w:r>
      <w:r w:rsidRPr="0084761E">
        <w:t xml:space="preserve">to </w:t>
      </w:r>
      <w:r w:rsidR="0084761E">
        <w:t>become</w:t>
      </w:r>
      <w:r w:rsidR="007365D0" w:rsidRPr="0084761E">
        <w:t xml:space="preserve"> sustainable, reliable and supported so that we can depend on them being available </w:t>
      </w:r>
      <w:r w:rsidRPr="0084761E">
        <w:t>for the next few years (at least).</w:t>
      </w:r>
    </w:p>
    <w:p w:rsidR="00A924D0" w:rsidRPr="00844FC3" w:rsidRDefault="00A924D0" w:rsidP="00A924D0">
      <w:pPr>
        <w:numPr>
          <w:ilvl w:val="1"/>
          <w:numId w:val="8"/>
        </w:numPr>
      </w:pPr>
      <w:r w:rsidRPr="00844FC3">
        <w:t xml:space="preserve">JISC </w:t>
      </w:r>
      <w:proofErr w:type="spellStart"/>
      <w:r w:rsidRPr="00844FC3">
        <w:t>TechDis</w:t>
      </w:r>
      <w:proofErr w:type="spellEnd"/>
      <w:r w:rsidRPr="00844FC3">
        <w:t xml:space="preserve"> noted that robust technologies should be selected but that Open Source can be very powerful. </w:t>
      </w:r>
    </w:p>
    <w:p w:rsidR="002A0BC6" w:rsidRPr="00844FC3" w:rsidRDefault="00A924D0" w:rsidP="00D56552">
      <w:pPr>
        <w:numPr>
          <w:ilvl w:val="0"/>
          <w:numId w:val="8"/>
        </w:numPr>
      </w:pPr>
      <w:r w:rsidRPr="00844FC3">
        <w:t xml:space="preserve">There can be a feeling that </w:t>
      </w:r>
      <w:r w:rsidR="00A27125">
        <w:t xml:space="preserve">accessing mathematical subjects </w:t>
      </w:r>
      <w:r w:rsidRPr="00844FC3">
        <w:t xml:space="preserve">is </w:t>
      </w:r>
      <w:r w:rsidR="002A0BC6" w:rsidRPr="00844FC3">
        <w:t xml:space="preserve">“too big </w:t>
      </w:r>
      <w:r w:rsidRPr="00844FC3">
        <w:t>a problem area”. So people do not</w:t>
      </w:r>
      <w:r w:rsidR="00A27125">
        <w:t xml:space="preserve"> alter behaviour</w:t>
      </w:r>
      <w:r w:rsidRPr="00844FC3">
        <w:t xml:space="preserve"> –</w:t>
      </w:r>
      <w:r w:rsidR="002A0BC6" w:rsidRPr="00844FC3">
        <w:t xml:space="preserve"> unles</w:t>
      </w:r>
      <w:r w:rsidRPr="00844FC3">
        <w:t xml:space="preserve">s </w:t>
      </w:r>
      <w:r w:rsidR="002A0BC6" w:rsidRPr="00844FC3">
        <w:t xml:space="preserve">they see </w:t>
      </w:r>
      <w:r w:rsidRPr="00844FC3">
        <w:t xml:space="preserve">clearly </w:t>
      </w:r>
      <w:r w:rsidR="002A0BC6" w:rsidRPr="00844FC3">
        <w:t>what is needed then this will not change.</w:t>
      </w:r>
    </w:p>
    <w:p w:rsidR="002A0BC6" w:rsidRDefault="001B597C" w:rsidP="00A924D0">
      <w:pPr>
        <w:numPr>
          <w:ilvl w:val="0"/>
          <w:numId w:val="8"/>
        </w:numPr>
      </w:pPr>
      <w:r>
        <w:t xml:space="preserve">I had not realised my subject was so inaccessible! </w:t>
      </w:r>
      <w:r w:rsidR="00A924D0" w:rsidRPr="00844FC3">
        <w:t>The problems come because w</w:t>
      </w:r>
      <w:r w:rsidR="002A0BC6" w:rsidRPr="00844FC3">
        <w:t xml:space="preserve">e are using 200 year old notation – can’t we change that?  </w:t>
      </w:r>
    </w:p>
    <w:p w:rsidR="001B597C" w:rsidRPr="00844FC3" w:rsidRDefault="001B597C" w:rsidP="001B597C">
      <w:pPr>
        <w:ind w:left="720"/>
      </w:pPr>
      <w:bookmarkStart w:id="0" w:name="_GoBack"/>
      <w:bookmarkEnd w:id="0"/>
    </w:p>
    <w:sectPr w:rsidR="001B597C" w:rsidRPr="00844FC3">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57DB" w:rsidRDefault="001357DB" w:rsidP="00230D14">
      <w:pPr>
        <w:spacing w:after="0" w:line="240" w:lineRule="auto"/>
      </w:pPr>
      <w:r>
        <w:separator/>
      </w:r>
    </w:p>
  </w:endnote>
  <w:endnote w:type="continuationSeparator" w:id="0">
    <w:p w:rsidR="001357DB" w:rsidRDefault="001357DB" w:rsidP="00230D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font421">
    <w:altName w:val="MS Mincho"/>
    <w:charset w:val="80"/>
    <w:family w:val="auto"/>
    <w:pitch w:val="variable"/>
  </w:font>
  <w:font w:name="Liberation Sans">
    <w:panose1 w:val="020B0604020202020204"/>
    <w:charset w:val="00"/>
    <w:family w:val="swiss"/>
    <w:pitch w:val="variable"/>
    <w:sig w:usb0="A00002AF" w:usb1="500078FB" w:usb2="00000000" w:usb3="00000000" w:csb0="0000009F" w:csb1="00000000"/>
  </w:font>
  <w:font w:name="WenQuanYi Micro Hei">
    <w:altName w:val="MS Mincho"/>
    <w:charset w:val="80"/>
    <w:family w:val="auto"/>
    <w:pitch w:val="variable"/>
  </w:font>
  <w:font w:name="Lohit Hindi">
    <w:altName w:val="MS Mincho"/>
    <w:charset w:val="80"/>
    <w:family w:val="auto"/>
    <w:pitch w:val="variable"/>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57DB" w:rsidRDefault="001357DB" w:rsidP="00230D14">
      <w:pPr>
        <w:spacing w:after="0" w:line="240" w:lineRule="auto"/>
      </w:pPr>
      <w:r>
        <w:separator/>
      </w:r>
    </w:p>
  </w:footnote>
  <w:footnote w:type="continuationSeparator" w:id="0">
    <w:p w:rsidR="001357DB" w:rsidRDefault="001357DB" w:rsidP="00230D14">
      <w:pPr>
        <w:spacing w:after="0" w:line="240" w:lineRule="auto"/>
      </w:pPr>
      <w:r>
        <w:continuationSeparator/>
      </w:r>
    </w:p>
  </w:footnote>
  <w:footnote w:id="1">
    <w:p w:rsidR="00230D14" w:rsidRDefault="00230D14">
      <w:pPr>
        <w:pStyle w:val="FootnoteText"/>
      </w:pPr>
      <w:r>
        <w:rPr>
          <w:rStyle w:val="FootnoteReference"/>
        </w:rPr>
        <w:footnoteRef/>
      </w:r>
      <w:r>
        <w:t xml:space="preserve"> </w:t>
      </w:r>
      <w:hyperlink r:id="rId1" w:history="1">
        <w:r w:rsidRPr="00C0711F">
          <w:rPr>
            <w:rStyle w:val="Hyperlink"/>
          </w:rPr>
          <w:t>http://www.jisctechdis.ac.uk/techdis/pages/detail/floating_pages/OASES_award</w:t>
        </w:r>
      </w:hyperlink>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00000002"/>
    <w:name w:val="WWNum1"/>
    <w:lvl w:ilvl="0">
      <w:start w:val="1"/>
      <w:numFmt w:val="bullet"/>
      <w:lvlText w:val=""/>
      <w:lvlJc w:val="left"/>
      <w:pPr>
        <w:tabs>
          <w:tab w:val="num" w:pos="0"/>
        </w:tabs>
        <w:ind w:left="720" w:hanging="360"/>
      </w:pPr>
      <w:rPr>
        <w:rFonts w:ascii="Symbol" w:hAnsi="Symbol" w:cs="Calibri"/>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
    <w:nsid w:val="34501384"/>
    <w:multiLevelType w:val="hybridMultilevel"/>
    <w:tmpl w:val="BD12FB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3E627C93"/>
    <w:multiLevelType w:val="hybridMultilevel"/>
    <w:tmpl w:val="E96466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44A071CB"/>
    <w:multiLevelType w:val="hybridMultilevel"/>
    <w:tmpl w:val="97B8F5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5A9D112D"/>
    <w:multiLevelType w:val="hybridMultilevel"/>
    <w:tmpl w:val="4AB438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5F09316E"/>
    <w:multiLevelType w:val="hybridMultilevel"/>
    <w:tmpl w:val="17C2F3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60FE4E90"/>
    <w:multiLevelType w:val="hybridMultilevel"/>
    <w:tmpl w:val="3CE444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5"/>
  </w:num>
  <w:num w:numId="4">
    <w:abstractNumId w:val="7"/>
  </w:num>
  <w:num w:numId="5">
    <w:abstractNumId w:val="2"/>
  </w:num>
  <w:num w:numId="6">
    <w:abstractNumId w:val="6"/>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1606"/>
    <w:rsid w:val="00050DA2"/>
    <w:rsid w:val="00064E3B"/>
    <w:rsid w:val="00070466"/>
    <w:rsid w:val="000705CD"/>
    <w:rsid w:val="000B5FE2"/>
    <w:rsid w:val="00107358"/>
    <w:rsid w:val="00113EA9"/>
    <w:rsid w:val="001213A6"/>
    <w:rsid w:val="0013365F"/>
    <w:rsid w:val="001357DB"/>
    <w:rsid w:val="00144DBB"/>
    <w:rsid w:val="00150172"/>
    <w:rsid w:val="00161308"/>
    <w:rsid w:val="00162F64"/>
    <w:rsid w:val="00163096"/>
    <w:rsid w:val="00194155"/>
    <w:rsid w:val="001B597C"/>
    <w:rsid w:val="001D748B"/>
    <w:rsid w:val="00230D14"/>
    <w:rsid w:val="002A09F9"/>
    <w:rsid w:val="002A0BC6"/>
    <w:rsid w:val="002B7767"/>
    <w:rsid w:val="002D070B"/>
    <w:rsid w:val="002F50C3"/>
    <w:rsid w:val="003357E5"/>
    <w:rsid w:val="00410DB4"/>
    <w:rsid w:val="004A1CB6"/>
    <w:rsid w:val="004C57D3"/>
    <w:rsid w:val="004E6307"/>
    <w:rsid w:val="00500B40"/>
    <w:rsid w:val="005A4BF9"/>
    <w:rsid w:val="005B4D28"/>
    <w:rsid w:val="005F3BB8"/>
    <w:rsid w:val="006234E0"/>
    <w:rsid w:val="00660A0E"/>
    <w:rsid w:val="00690B30"/>
    <w:rsid w:val="006A3A2A"/>
    <w:rsid w:val="007365D0"/>
    <w:rsid w:val="007509D8"/>
    <w:rsid w:val="00757771"/>
    <w:rsid w:val="007651A6"/>
    <w:rsid w:val="00784673"/>
    <w:rsid w:val="007935D2"/>
    <w:rsid w:val="007E0821"/>
    <w:rsid w:val="007E75E6"/>
    <w:rsid w:val="00803509"/>
    <w:rsid w:val="00815E23"/>
    <w:rsid w:val="00821B52"/>
    <w:rsid w:val="00844FC3"/>
    <w:rsid w:val="0084761E"/>
    <w:rsid w:val="00871FD3"/>
    <w:rsid w:val="00873B08"/>
    <w:rsid w:val="0088038D"/>
    <w:rsid w:val="00884E0B"/>
    <w:rsid w:val="008A0CB1"/>
    <w:rsid w:val="008C4BDB"/>
    <w:rsid w:val="008D57F8"/>
    <w:rsid w:val="009023E8"/>
    <w:rsid w:val="00912AB8"/>
    <w:rsid w:val="009518FA"/>
    <w:rsid w:val="00966B45"/>
    <w:rsid w:val="00970DBF"/>
    <w:rsid w:val="009C2325"/>
    <w:rsid w:val="009E4BEB"/>
    <w:rsid w:val="009F5FEE"/>
    <w:rsid w:val="00A240D2"/>
    <w:rsid w:val="00A27125"/>
    <w:rsid w:val="00A55457"/>
    <w:rsid w:val="00A67934"/>
    <w:rsid w:val="00A70C07"/>
    <w:rsid w:val="00A924D0"/>
    <w:rsid w:val="00AC1788"/>
    <w:rsid w:val="00AD45E3"/>
    <w:rsid w:val="00B05320"/>
    <w:rsid w:val="00B15396"/>
    <w:rsid w:val="00B26E6F"/>
    <w:rsid w:val="00B625A5"/>
    <w:rsid w:val="00B72FE6"/>
    <w:rsid w:val="00BB07EF"/>
    <w:rsid w:val="00C3230B"/>
    <w:rsid w:val="00C3667E"/>
    <w:rsid w:val="00C37576"/>
    <w:rsid w:val="00C51C2B"/>
    <w:rsid w:val="00C55BA6"/>
    <w:rsid w:val="00C75D36"/>
    <w:rsid w:val="00C93126"/>
    <w:rsid w:val="00CC6F8C"/>
    <w:rsid w:val="00CE1606"/>
    <w:rsid w:val="00D22761"/>
    <w:rsid w:val="00D56552"/>
    <w:rsid w:val="00D57A7E"/>
    <w:rsid w:val="00D763F6"/>
    <w:rsid w:val="00DA73CE"/>
    <w:rsid w:val="00DB0F3F"/>
    <w:rsid w:val="00DC2BD0"/>
    <w:rsid w:val="00E67D72"/>
    <w:rsid w:val="00E90FC7"/>
    <w:rsid w:val="00EE53A8"/>
    <w:rsid w:val="00EF4AA0"/>
    <w:rsid w:val="00F051C3"/>
    <w:rsid w:val="00F11602"/>
    <w:rsid w:val="00F32AB9"/>
    <w:rsid w:val="00FB10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6552"/>
    <w:pPr>
      <w:spacing w:after="200" w:line="276" w:lineRule="auto"/>
    </w:pPr>
    <w:rPr>
      <w:rFonts w:ascii="Arial" w:hAnsi="Arial"/>
      <w:sz w:val="24"/>
      <w:szCs w:val="22"/>
    </w:rPr>
  </w:style>
  <w:style w:type="paragraph" w:styleId="Heading1">
    <w:name w:val="heading 1"/>
    <w:basedOn w:val="Normal"/>
    <w:next w:val="Normal"/>
    <w:link w:val="Heading1Char"/>
    <w:uiPriority w:val="9"/>
    <w:qFormat/>
    <w:rsid w:val="00D56552"/>
    <w:pPr>
      <w:keepNext/>
      <w:keepLines/>
      <w:spacing w:before="480" w:after="360"/>
      <w:outlineLvl w:val="0"/>
    </w:pPr>
    <w:rPr>
      <w:rFonts w:eastAsia="Times New Roman"/>
      <w:b/>
      <w:bCs/>
      <w:color w:val="365F91"/>
      <w:sz w:val="36"/>
      <w:szCs w:val="28"/>
    </w:rPr>
  </w:style>
  <w:style w:type="paragraph" w:styleId="Heading2">
    <w:name w:val="heading 2"/>
    <w:basedOn w:val="Normal"/>
    <w:next w:val="Normal"/>
    <w:link w:val="Heading2Char"/>
    <w:uiPriority w:val="9"/>
    <w:unhideWhenUsed/>
    <w:qFormat/>
    <w:rsid w:val="00D56552"/>
    <w:pPr>
      <w:keepNext/>
      <w:keepLines/>
      <w:spacing w:before="200" w:after="240"/>
      <w:outlineLvl w:val="1"/>
    </w:pPr>
    <w:rPr>
      <w:rFonts w:eastAsia="Times New Roman"/>
      <w:b/>
      <w:bCs/>
      <w:color w:val="365F91"/>
      <w:sz w:val="32"/>
      <w:szCs w:val="26"/>
    </w:rPr>
  </w:style>
  <w:style w:type="paragraph" w:styleId="Heading3">
    <w:name w:val="heading 3"/>
    <w:basedOn w:val="Normal"/>
    <w:next w:val="Normal"/>
    <w:link w:val="Heading3Char"/>
    <w:uiPriority w:val="9"/>
    <w:unhideWhenUsed/>
    <w:qFormat/>
    <w:rsid w:val="00D56552"/>
    <w:pPr>
      <w:keepNext/>
      <w:keepLines/>
      <w:spacing w:before="200" w:after="240"/>
      <w:outlineLvl w:val="2"/>
    </w:pPr>
    <w:rPr>
      <w:rFonts w:eastAsia="Times New Roman"/>
      <w:b/>
      <w:bCs/>
      <w:color w:val="365F91"/>
      <w:sz w:val="28"/>
    </w:rPr>
  </w:style>
  <w:style w:type="paragraph" w:styleId="Heading4">
    <w:name w:val="heading 4"/>
    <w:basedOn w:val="Normal"/>
    <w:next w:val="BodyText"/>
    <w:uiPriority w:val="9"/>
    <w:semiHidden/>
    <w:unhideWhenUsed/>
    <w:qFormat/>
    <w:pPr>
      <w:keepNext/>
      <w:keepLines/>
      <w:spacing w:before="200" w:after="0"/>
      <w:outlineLvl w:val="3"/>
    </w:pPr>
    <w:rPr>
      <w:rFonts w:ascii="Cambria" w:eastAsia="Times New Roman"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leChar">
    <w:name w:val="Title Char"/>
    <w:rPr>
      <w:rFonts w:ascii="Arial" w:hAnsi="Arial" w:cs="Times New Roman"/>
      <w:b/>
      <w:spacing w:val="5"/>
      <w:kern w:val="1"/>
      <w:sz w:val="52"/>
      <w:szCs w:val="52"/>
    </w:rPr>
  </w:style>
  <w:style w:type="character" w:customStyle="1" w:styleId="Heading1Char">
    <w:name w:val="Heading 1 Char"/>
    <w:link w:val="Heading1"/>
    <w:uiPriority w:val="9"/>
    <w:rsid w:val="00D56552"/>
    <w:rPr>
      <w:rFonts w:ascii="Arial" w:eastAsia="Times New Roman" w:hAnsi="Arial" w:cs="Times New Roman"/>
      <w:b/>
      <w:bCs/>
      <w:color w:val="365F91"/>
      <w:sz w:val="36"/>
      <w:szCs w:val="28"/>
    </w:rPr>
  </w:style>
  <w:style w:type="character" w:customStyle="1" w:styleId="Heading2Char">
    <w:name w:val="Heading 2 Char"/>
    <w:link w:val="Heading2"/>
    <w:uiPriority w:val="9"/>
    <w:rsid w:val="00D56552"/>
    <w:rPr>
      <w:rFonts w:ascii="Arial" w:eastAsia="Times New Roman" w:hAnsi="Arial" w:cs="Times New Roman"/>
      <w:b/>
      <w:bCs/>
      <w:color w:val="365F91"/>
      <w:sz w:val="32"/>
      <w:szCs w:val="26"/>
    </w:rPr>
  </w:style>
  <w:style w:type="character" w:customStyle="1" w:styleId="Heading3Char">
    <w:name w:val="Heading 3 Char"/>
    <w:link w:val="Heading3"/>
    <w:uiPriority w:val="9"/>
    <w:rsid w:val="00D56552"/>
    <w:rPr>
      <w:rFonts w:ascii="Arial" w:eastAsia="Times New Roman" w:hAnsi="Arial" w:cs="Times New Roman"/>
      <w:b/>
      <w:bCs/>
      <w:color w:val="365F91"/>
      <w:sz w:val="28"/>
    </w:rPr>
  </w:style>
  <w:style w:type="character" w:customStyle="1" w:styleId="Heading4Char">
    <w:name w:val="Heading 4 Char"/>
    <w:rPr>
      <w:rFonts w:ascii="Arial" w:hAnsi="Arial" w:cs="font421"/>
      <w:b/>
      <w:bCs/>
      <w:i/>
      <w:iCs/>
      <w:sz w:val="24"/>
    </w:rPr>
  </w:style>
  <w:style w:type="character" w:customStyle="1" w:styleId="ListLabel1">
    <w:name w:val="ListLabel 1"/>
    <w:rPr>
      <w:rFonts w:cs="Calibri"/>
    </w:rPr>
  </w:style>
  <w:style w:type="character" w:customStyle="1" w:styleId="ListLabel2">
    <w:name w:val="ListLabel 2"/>
    <w:rPr>
      <w:rFonts w:cs="Courier New"/>
    </w:rPr>
  </w:style>
  <w:style w:type="paragraph" w:customStyle="1" w:styleId="Heading">
    <w:name w:val="Heading"/>
    <w:basedOn w:val="Normal"/>
    <w:next w:val="BodyText"/>
    <w:pPr>
      <w:keepNext/>
      <w:spacing w:before="240" w:after="120"/>
    </w:pPr>
    <w:rPr>
      <w:rFonts w:ascii="Liberation Sans" w:eastAsia="WenQuanYi Micro Hei" w:hAnsi="Liberation Sans" w:cs="Lohit Hindi"/>
      <w:sz w:val="28"/>
      <w:szCs w:val="28"/>
    </w:rPr>
  </w:style>
  <w:style w:type="paragraph" w:styleId="BodyText">
    <w:name w:val="Body Text"/>
    <w:basedOn w:val="Normal"/>
    <w:pPr>
      <w:spacing w:after="120"/>
    </w:pPr>
  </w:style>
  <w:style w:type="paragraph" w:styleId="List">
    <w:name w:val="List"/>
    <w:basedOn w:val="BodyText"/>
    <w:rPr>
      <w:rFonts w:cs="Lohit Hindi"/>
    </w:rPr>
  </w:style>
  <w:style w:type="paragraph" w:styleId="Caption">
    <w:name w:val="caption"/>
    <w:basedOn w:val="Normal"/>
    <w:uiPriority w:val="35"/>
    <w:semiHidden/>
    <w:unhideWhenUsed/>
    <w:qFormat/>
    <w:pPr>
      <w:spacing w:line="240" w:lineRule="auto"/>
    </w:pPr>
    <w:rPr>
      <w:b/>
      <w:bCs/>
      <w:color w:val="4F81BD"/>
      <w:sz w:val="18"/>
      <w:szCs w:val="18"/>
    </w:rPr>
  </w:style>
  <w:style w:type="paragraph" w:customStyle="1" w:styleId="Index">
    <w:name w:val="Index"/>
    <w:basedOn w:val="Normal"/>
    <w:pPr>
      <w:suppressLineNumbers/>
    </w:pPr>
    <w:rPr>
      <w:rFonts w:cs="Lohit Hindi"/>
    </w:rPr>
  </w:style>
  <w:style w:type="paragraph" w:styleId="Title">
    <w:name w:val="Title"/>
    <w:basedOn w:val="Normal"/>
    <w:next w:val="Subtitle"/>
    <w:uiPriority w:val="10"/>
    <w:qFormat/>
    <w:rsid w:val="00D56552"/>
    <w:pPr>
      <w:spacing w:after="300" w:line="240" w:lineRule="auto"/>
      <w:contextualSpacing/>
    </w:pPr>
    <w:rPr>
      <w:rFonts w:eastAsia="Times New Roman"/>
      <w:color w:val="17365D"/>
      <w:spacing w:val="5"/>
      <w:kern w:val="28"/>
      <w:sz w:val="52"/>
      <w:szCs w:val="52"/>
    </w:rPr>
  </w:style>
  <w:style w:type="paragraph" w:styleId="Subtitle">
    <w:name w:val="Subtitle"/>
    <w:basedOn w:val="Heading"/>
    <w:next w:val="BodyText"/>
    <w:uiPriority w:val="11"/>
    <w:qFormat/>
    <w:pPr>
      <w:keepNext w:val="0"/>
      <w:numPr>
        <w:ilvl w:val="1"/>
      </w:numPr>
      <w:spacing w:before="0" w:after="200"/>
    </w:pPr>
    <w:rPr>
      <w:rFonts w:ascii="Cambria" w:eastAsia="Times New Roman" w:hAnsi="Cambria" w:cs="Times New Roman"/>
      <w:i/>
      <w:iCs/>
      <w:color w:val="4F81BD"/>
      <w:spacing w:val="15"/>
      <w:sz w:val="24"/>
      <w:szCs w:val="24"/>
    </w:rPr>
  </w:style>
  <w:style w:type="paragraph" w:styleId="TOAHeading">
    <w:name w:val="toa heading"/>
    <w:basedOn w:val="Heading1"/>
    <w:pPr>
      <w:suppressLineNumbers/>
    </w:pPr>
    <w:rPr>
      <w:sz w:val="32"/>
      <w:szCs w:val="32"/>
      <w:lang w:val="en-US" w:eastAsia="ja-JP"/>
    </w:rPr>
  </w:style>
  <w:style w:type="paragraph" w:styleId="ListParagraph">
    <w:name w:val="List Paragraph"/>
    <w:basedOn w:val="Normal"/>
    <w:uiPriority w:val="34"/>
    <w:qFormat/>
    <w:rsid w:val="00D56552"/>
    <w:pPr>
      <w:ind w:left="720"/>
      <w:contextualSpacing/>
    </w:pPr>
  </w:style>
  <w:style w:type="paragraph" w:styleId="BalloonText">
    <w:name w:val="Balloon Text"/>
    <w:basedOn w:val="Normal"/>
    <w:link w:val="BalloonTextChar"/>
    <w:uiPriority w:val="99"/>
    <w:semiHidden/>
    <w:unhideWhenUsed/>
    <w:rsid w:val="00CE160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E1606"/>
    <w:rPr>
      <w:rFonts w:ascii="Tahoma" w:eastAsia="WenQuanYi Micro Hei" w:hAnsi="Tahoma" w:cs="Tahoma"/>
      <w:kern w:val="1"/>
      <w:sz w:val="16"/>
      <w:szCs w:val="16"/>
      <w:lang w:eastAsia="en-US"/>
    </w:rPr>
  </w:style>
  <w:style w:type="character" w:styleId="Strong">
    <w:name w:val="Strong"/>
    <w:uiPriority w:val="22"/>
    <w:qFormat/>
    <w:rsid w:val="00D56552"/>
    <w:rPr>
      <w:b/>
      <w:bCs/>
    </w:rPr>
  </w:style>
  <w:style w:type="character" w:styleId="Hyperlink">
    <w:name w:val="Hyperlink"/>
    <w:uiPriority w:val="99"/>
    <w:unhideWhenUsed/>
    <w:rsid w:val="001D748B"/>
    <w:rPr>
      <w:color w:val="0000FF"/>
      <w:u w:val="single"/>
    </w:rPr>
  </w:style>
  <w:style w:type="paragraph" w:styleId="FootnoteText">
    <w:name w:val="footnote text"/>
    <w:basedOn w:val="Normal"/>
    <w:link w:val="FootnoteTextChar"/>
    <w:uiPriority w:val="99"/>
    <w:semiHidden/>
    <w:unhideWhenUsed/>
    <w:rsid w:val="00230D14"/>
    <w:rPr>
      <w:sz w:val="20"/>
      <w:szCs w:val="20"/>
    </w:rPr>
  </w:style>
  <w:style w:type="character" w:customStyle="1" w:styleId="FootnoteTextChar">
    <w:name w:val="Footnote Text Char"/>
    <w:link w:val="FootnoteText"/>
    <w:uiPriority w:val="99"/>
    <w:semiHidden/>
    <w:rsid w:val="00230D14"/>
    <w:rPr>
      <w:rFonts w:ascii="Arial" w:hAnsi="Arial"/>
    </w:rPr>
  </w:style>
  <w:style w:type="character" w:styleId="FootnoteReference">
    <w:name w:val="footnote reference"/>
    <w:uiPriority w:val="99"/>
    <w:semiHidden/>
    <w:unhideWhenUsed/>
    <w:rsid w:val="00230D14"/>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6552"/>
    <w:pPr>
      <w:spacing w:after="200" w:line="276" w:lineRule="auto"/>
    </w:pPr>
    <w:rPr>
      <w:rFonts w:ascii="Arial" w:hAnsi="Arial"/>
      <w:sz w:val="24"/>
      <w:szCs w:val="22"/>
    </w:rPr>
  </w:style>
  <w:style w:type="paragraph" w:styleId="Heading1">
    <w:name w:val="heading 1"/>
    <w:basedOn w:val="Normal"/>
    <w:next w:val="Normal"/>
    <w:link w:val="Heading1Char"/>
    <w:uiPriority w:val="9"/>
    <w:qFormat/>
    <w:rsid w:val="00D56552"/>
    <w:pPr>
      <w:keepNext/>
      <w:keepLines/>
      <w:spacing w:before="480" w:after="360"/>
      <w:outlineLvl w:val="0"/>
    </w:pPr>
    <w:rPr>
      <w:rFonts w:eastAsia="Times New Roman"/>
      <w:b/>
      <w:bCs/>
      <w:color w:val="365F91"/>
      <w:sz w:val="36"/>
      <w:szCs w:val="28"/>
    </w:rPr>
  </w:style>
  <w:style w:type="paragraph" w:styleId="Heading2">
    <w:name w:val="heading 2"/>
    <w:basedOn w:val="Normal"/>
    <w:next w:val="Normal"/>
    <w:link w:val="Heading2Char"/>
    <w:uiPriority w:val="9"/>
    <w:unhideWhenUsed/>
    <w:qFormat/>
    <w:rsid w:val="00D56552"/>
    <w:pPr>
      <w:keepNext/>
      <w:keepLines/>
      <w:spacing w:before="200" w:after="240"/>
      <w:outlineLvl w:val="1"/>
    </w:pPr>
    <w:rPr>
      <w:rFonts w:eastAsia="Times New Roman"/>
      <w:b/>
      <w:bCs/>
      <w:color w:val="365F91"/>
      <w:sz w:val="32"/>
      <w:szCs w:val="26"/>
    </w:rPr>
  </w:style>
  <w:style w:type="paragraph" w:styleId="Heading3">
    <w:name w:val="heading 3"/>
    <w:basedOn w:val="Normal"/>
    <w:next w:val="Normal"/>
    <w:link w:val="Heading3Char"/>
    <w:uiPriority w:val="9"/>
    <w:unhideWhenUsed/>
    <w:qFormat/>
    <w:rsid w:val="00D56552"/>
    <w:pPr>
      <w:keepNext/>
      <w:keepLines/>
      <w:spacing w:before="200" w:after="240"/>
      <w:outlineLvl w:val="2"/>
    </w:pPr>
    <w:rPr>
      <w:rFonts w:eastAsia="Times New Roman"/>
      <w:b/>
      <w:bCs/>
      <w:color w:val="365F91"/>
      <w:sz w:val="28"/>
    </w:rPr>
  </w:style>
  <w:style w:type="paragraph" w:styleId="Heading4">
    <w:name w:val="heading 4"/>
    <w:basedOn w:val="Normal"/>
    <w:next w:val="BodyText"/>
    <w:uiPriority w:val="9"/>
    <w:semiHidden/>
    <w:unhideWhenUsed/>
    <w:qFormat/>
    <w:pPr>
      <w:keepNext/>
      <w:keepLines/>
      <w:spacing w:before="200" w:after="0"/>
      <w:outlineLvl w:val="3"/>
    </w:pPr>
    <w:rPr>
      <w:rFonts w:ascii="Cambria" w:eastAsia="Times New Roman"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leChar">
    <w:name w:val="Title Char"/>
    <w:rPr>
      <w:rFonts w:ascii="Arial" w:hAnsi="Arial" w:cs="Times New Roman"/>
      <w:b/>
      <w:spacing w:val="5"/>
      <w:kern w:val="1"/>
      <w:sz w:val="52"/>
      <w:szCs w:val="52"/>
    </w:rPr>
  </w:style>
  <w:style w:type="character" w:customStyle="1" w:styleId="Heading1Char">
    <w:name w:val="Heading 1 Char"/>
    <w:link w:val="Heading1"/>
    <w:uiPriority w:val="9"/>
    <w:rsid w:val="00D56552"/>
    <w:rPr>
      <w:rFonts w:ascii="Arial" w:eastAsia="Times New Roman" w:hAnsi="Arial" w:cs="Times New Roman"/>
      <w:b/>
      <w:bCs/>
      <w:color w:val="365F91"/>
      <w:sz w:val="36"/>
      <w:szCs w:val="28"/>
    </w:rPr>
  </w:style>
  <w:style w:type="character" w:customStyle="1" w:styleId="Heading2Char">
    <w:name w:val="Heading 2 Char"/>
    <w:link w:val="Heading2"/>
    <w:uiPriority w:val="9"/>
    <w:rsid w:val="00D56552"/>
    <w:rPr>
      <w:rFonts w:ascii="Arial" w:eastAsia="Times New Roman" w:hAnsi="Arial" w:cs="Times New Roman"/>
      <w:b/>
      <w:bCs/>
      <w:color w:val="365F91"/>
      <w:sz w:val="32"/>
      <w:szCs w:val="26"/>
    </w:rPr>
  </w:style>
  <w:style w:type="character" w:customStyle="1" w:styleId="Heading3Char">
    <w:name w:val="Heading 3 Char"/>
    <w:link w:val="Heading3"/>
    <w:uiPriority w:val="9"/>
    <w:rsid w:val="00D56552"/>
    <w:rPr>
      <w:rFonts w:ascii="Arial" w:eastAsia="Times New Roman" w:hAnsi="Arial" w:cs="Times New Roman"/>
      <w:b/>
      <w:bCs/>
      <w:color w:val="365F91"/>
      <w:sz w:val="28"/>
    </w:rPr>
  </w:style>
  <w:style w:type="character" w:customStyle="1" w:styleId="Heading4Char">
    <w:name w:val="Heading 4 Char"/>
    <w:rPr>
      <w:rFonts w:ascii="Arial" w:hAnsi="Arial" w:cs="font421"/>
      <w:b/>
      <w:bCs/>
      <w:i/>
      <w:iCs/>
      <w:sz w:val="24"/>
    </w:rPr>
  </w:style>
  <w:style w:type="character" w:customStyle="1" w:styleId="ListLabel1">
    <w:name w:val="ListLabel 1"/>
    <w:rPr>
      <w:rFonts w:cs="Calibri"/>
    </w:rPr>
  </w:style>
  <w:style w:type="character" w:customStyle="1" w:styleId="ListLabel2">
    <w:name w:val="ListLabel 2"/>
    <w:rPr>
      <w:rFonts w:cs="Courier New"/>
    </w:rPr>
  </w:style>
  <w:style w:type="paragraph" w:customStyle="1" w:styleId="Heading">
    <w:name w:val="Heading"/>
    <w:basedOn w:val="Normal"/>
    <w:next w:val="BodyText"/>
    <w:pPr>
      <w:keepNext/>
      <w:spacing w:before="240" w:after="120"/>
    </w:pPr>
    <w:rPr>
      <w:rFonts w:ascii="Liberation Sans" w:eastAsia="WenQuanYi Micro Hei" w:hAnsi="Liberation Sans" w:cs="Lohit Hindi"/>
      <w:sz w:val="28"/>
      <w:szCs w:val="28"/>
    </w:rPr>
  </w:style>
  <w:style w:type="paragraph" w:styleId="BodyText">
    <w:name w:val="Body Text"/>
    <w:basedOn w:val="Normal"/>
    <w:pPr>
      <w:spacing w:after="120"/>
    </w:pPr>
  </w:style>
  <w:style w:type="paragraph" w:styleId="List">
    <w:name w:val="List"/>
    <w:basedOn w:val="BodyText"/>
    <w:rPr>
      <w:rFonts w:cs="Lohit Hindi"/>
    </w:rPr>
  </w:style>
  <w:style w:type="paragraph" w:styleId="Caption">
    <w:name w:val="caption"/>
    <w:basedOn w:val="Normal"/>
    <w:uiPriority w:val="35"/>
    <w:semiHidden/>
    <w:unhideWhenUsed/>
    <w:qFormat/>
    <w:pPr>
      <w:spacing w:line="240" w:lineRule="auto"/>
    </w:pPr>
    <w:rPr>
      <w:b/>
      <w:bCs/>
      <w:color w:val="4F81BD"/>
      <w:sz w:val="18"/>
      <w:szCs w:val="18"/>
    </w:rPr>
  </w:style>
  <w:style w:type="paragraph" w:customStyle="1" w:styleId="Index">
    <w:name w:val="Index"/>
    <w:basedOn w:val="Normal"/>
    <w:pPr>
      <w:suppressLineNumbers/>
    </w:pPr>
    <w:rPr>
      <w:rFonts w:cs="Lohit Hindi"/>
    </w:rPr>
  </w:style>
  <w:style w:type="paragraph" w:styleId="Title">
    <w:name w:val="Title"/>
    <w:basedOn w:val="Normal"/>
    <w:next w:val="Subtitle"/>
    <w:uiPriority w:val="10"/>
    <w:qFormat/>
    <w:rsid w:val="00D56552"/>
    <w:pPr>
      <w:spacing w:after="300" w:line="240" w:lineRule="auto"/>
      <w:contextualSpacing/>
    </w:pPr>
    <w:rPr>
      <w:rFonts w:eastAsia="Times New Roman"/>
      <w:color w:val="17365D"/>
      <w:spacing w:val="5"/>
      <w:kern w:val="28"/>
      <w:sz w:val="52"/>
      <w:szCs w:val="52"/>
    </w:rPr>
  </w:style>
  <w:style w:type="paragraph" w:styleId="Subtitle">
    <w:name w:val="Subtitle"/>
    <w:basedOn w:val="Heading"/>
    <w:next w:val="BodyText"/>
    <w:uiPriority w:val="11"/>
    <w:qFormat/>
    <w:pPr>
      <w:keepNext w:val="0"/>
      <w:numPr>
        <w:ilvl w:val="1"/>
      </w:numPr>
      <w:spacing w:before="0" w:after="200"/>
    </w:pPr>
    <w:rPr>
      <w:rFonts w:ascii="Cambria" w:eastAsia="Times New Roman" w:hAnsi="Cambria" w:cs="Times New Roman"/>
      <w:i/>
      <w:iCs/>
      <w:color w:val="4F81BD"/>
      <w:spacing w:val="15"/>
      <w:sz w:val="24"/>
      <w:szCs w:val="24"/>
    </w:rPr>
  </w:style>
  <w:style w:type="paragraph" w:styleId="TOAHeading">
    <w:name w:val="toa heading"/>
    <w:basedOn w:val="Heading1"/>
    <w:pPr>
      <w:suppressLineNumbers/>
    </w:pPr>
    <w:rPr>
      <w:sz w:val="32"/>
      <w:szCs w:val="32"/>
      <w:lang w:val="en-US" w:eastAsia="ja-JP"/>
    </w:rPr>
  </w:style>
  <w:style w:type="paragraph" w:styleId="ListParagraph">
    <w:name w:val="List Paragraph"/>
    <w:basedOn w:val="Normal"/>
    <w:uiPriority w:val="34"/>
    <w:qFormat/>
    <w:rsid w:val="00D56552"/>
    <w:pPr>
      <w:ind w:left="720"/>
      <w:contextualSpacing/>
    </w:pPr>
  </w:style>
  <w:style w:type="paragraph" w:styleId="BalloonText">
    <w:name w:val="Balloon Text"/>
    <w:basedOn w:val="Normal"/>
    <w:link w:val="BalloonTextChar"/>
    <w:uiPriority w:val="99"/>
    <w:semiHidden/>
    <w:unhideWhenUsed/>
    <w:rsid w:val="00CE160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E1606"/>
    <w:rPr>
      <w:rFonts w:ascii="Tahoma" w:eastAsia="WenQuanYi Micro Hei" w:hAnsi="Tahoma" w:cs="Tahoma"/>
      <w:kern w:val="1"/>
      <w:sz w:val="16"/>
      <w:szCs w:val="16"/>
      <w:lang w:eastAsia="en-US"/>
    </w:rPr>
  </w:style>
  <w:style w:type="character" w:styleId="Strong">
    <w:name w:val="Strong"/>
    <w:uiPriority w:val="22"/>
    <w:qFormat/>
    <w:rsid w:val="00D56552"/>
    <w:rPr>
      <w:b/>
      <w:bCs/>
    </w:rPr>
  </w:style>
  <w:style w:type="character" w:styleId="Hyperlink">
    <w:name w:val="Hyperlink"/>
    <w:uiPriority w:val="99"/>
    <w:unhideWhenUsed/>
    <w:rsid w:val="001D748B"/>
    <w:rPr>
      <w:color w:val="0000FF"/>
      <w:u w:val="single"/>
    </w:rPr>
  </w:style>
  <w:style w:type="paragraph" w:styleId="FootnoteText">
    <w:name w:val="footnote text"/>
    <w:basedOn w:val="Normal"/>
    <w:link w:val="FootnoteTextChar"/>
    <w:uiPriority w:val="99"/>
    <w:semiHidden/>
    <w:unhideWhenUsed/>
    <w:rsid w:val="00230D14"/>
    <w:rPr>
      <w:sz w:val="20"/>
      <w:szCs w:val="20"/>
    </w:rPr>
  </w:style>
  <w:style w:type="character" w:customStyle="1" w:styleId="FootnoteTextChar">
    <w:name w:val="Footnote Text Char"/>
    <w:link w:val="FootnoteText"/>
    <w:uiPriority w:val="99"/>
    <w:semiHidden/>
    <w:rsid w:val="00230D14"/>
    <w:rPr>
      <w:rFonts w:ascii="Arial" w:hAnsi="Arial"/>
    </w:rPr>
  </w:style>
  <w:style w:type="character" w:styleId="FootnoteReference">
    <w:name w:val="footnote reference"/>
    <w:uiPriority w:val="99"/>
    <w:semiHidden/>
    <w:unhideWhenUsed/>
    <w:rsid w:val="00230D1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jisctechdis.ac.uk/techdis/pages/detail/floating_pages/OASES_awar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82D731B6-647A-4CB1-A227-4AB8FD2511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6</Pages>
  <Words>2105</Words>
  <Characters>12000</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14077</CharactersWithSpaces>
  <SharedDoc>false</SharedDoc>
  <HLinks>
    <vt:vector size="6" baseType="variant">
      <vt:variant>
        <vt:i4>4718616</vt:i4>
      </vt:variant>
      <vt:variant>
        <vt:i4>0</vt:i4>
      </vt:variant>
      <vt:variant>
        <vt:i4>0</vt:i4>
      </vt:variant>
      <vt:variant>
        <vt:i4>5</vt:i4>
      </vt:variant>
      <vt:variant>
        <vt:lpwstr>http://www.jisctechdis.ac.uk/techdis/pages/detail/floating_pages/OASES_award</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dc:creator>
  <cp:lastModifiedBy>Emma</cp:lastModifiedBy>
  <cp:revision>7</cp:revision>
  <cp:lastPrinted>2013-04-16T13:05:00Z</cp:lastPrinted>
  <dcterms:created xsi:type="dcterms:W3CDTF">2013-04-16T13:36:00Z</dcterms:created>
  <dcterms:modified xsi:type="dcterms:W3CDTF">2013-04-17T09:58:00Z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